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107A2C">
              <w:rPr>
                <w:rFonts w:ascii="Times New Roman" w:hAnsi="Times New Roman" w:cs="Times New Roman"/>
                <w:i/>
                <w:sz w:val="24"/>
              </w:rPr>
              <w:t>March</w:t>
            </w:r>
            <w:r w:rsidR="00790466">
              <w:rPr>
                <w:rFonts w:ascii="Times New Roman" w:hAnsi="Times New Roman" w:cs="Times New Roman"/>
                <w:i/>
                <w:sz w:val="24"/>
              </w:rPr>
              <w:t xml:space="preserve"> 201</w:t>
            </w:r>
            <w:r w:rsidR="0088259D">
              <w:rPr>
                <w:rFonts w:ascii="Times New Roman" w:hAnsi="Times New Roman" w:cs="Times New Roman"/>
                <w:i/>
                <w:sz w:val="24"/>
              </w:rPr>
              <w:t>9</w:t>
            </w:r>
          </w:p>
          <w:p w:rsidR="0071609E" w:rsidRPr="00CF1EF1" w:rsidRDefault="0071609E" w:rsidP="006D5B48">
            <w:pPr>
              <w:jc w:val="right"/>
              <w:rPr>
                <w:rFonts w:ascii="Times New Roman" w:hAnsi="Times New Roman" w:cs="Times New Roman"/>
                <w:sz w:val="8"/>
              </w:rPr>
            </w:pPr>
          </w:p>
        </w:tc>
      </w:tr>
      <w:tr w:rsidR="001A0674" w:rsidTr="001A0674">
        <w:trPr>
          <w:trHeight w:val="1293"/>
        </w:trPr>
        <w:tc>
          <w:tcPr>
            <w:tcW w:w="11088" w:type="dxa"/>
            <w:shd w:val="clear" w:color="auto" w:fill="93E3FF"/>
          </w:tcPr>
          <w:p w:rsidR="001A0674" w:rsidRPr="001710BB" w:rsidRDefault="001A0674" w:rsidP="006D3C00">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1A0674" w:rsidRPr="00D61CC9" w:rsidRDefault="001A0674" w:rsidP="006D3C00">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 xml:space="preserve">Office </w:t>
            </w:r>
            <w:r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CE7B83" w:rsidRDefault="001A0674" w:rsidP="001A0674">
      <w:pPr>
        <w:pStyle w:val="NoSpacing"/>
        <w:rPr>
          <w:rFonts w:ascii="Microsoft Sans Serif" w:hAnsi="Microsoft Sans Serif" w:cs="Microsoft Sans Serif"/>
          <w:smallCaps/>
          <w:sz w:val="12"/>
        </w:rPr>
      </w:pPr>
    </w:p>
    <w:p w:rsidR="0088259D" w:rsidRPr="00F74F50" w:rsidRDefault="0088259D" w:rsidP="00AB13BA">
      <w:pPr>
        <w:rPr>
          <w:rFonts w:ascii="Microsoft Sans Serif" w:hAnsi="Microsoft Sans Serif" w:cs="Microsoft Sans Serif"/>
          <w:smallCaps/>
          <w:sz w:val="16"/>
        </w:rPr>
        <w:sectPr w:rsidR="0088259D" w:rsidRPr="00F74F50" w:rsidSect="008850A7">
          <w:footerReference w:type="default" r:id="rId10"/>
          <w:type w:val="continuous"/>
          <w:pgSz w:w="12240" w:h="15840"/>
          <w:pgMar w:top="504" w:right="576" w:bottom="245" w:left="576" w:header="720" w:footer="720" w:gutter="0"/>
          <w:cols w:space="720"/>
          <w:docGrid w:linePitch="360"/>
        </w:sectPr>
      </w:pPr>
    </w:p>
    <w:p w:rsidR="00107A2C" w:rsidRPr="00107A2C" w:rsidRDefault="00107A2C" w:rsidP="00107A2C">
      <w:pPr>
        <w:spacing w:after="0"/>
        <w:rPr>
          <w:rFonts w:ascii="Microsoft Sans Serif" w:hAnsi="Microsoft Sans Serif" w:cs="Microsoft Sans Serif"/>
          <w:b/>
          <w:smallCaps/>
          <w:sz w:val="28"/>
          <w:u w:val="single"/>
        </w:rPr>
      </w:pPr>
      <w:r w:rsidRPr="00107A2C">
        <w:rPr>
          <w:rFonts w:ascii="Microsoft Sans Serif" w:hAnsi="Microsoft Sans Serif" w:cs="Microsoft Sans Serif"/>
          <w:b/>
          <w:smallCaps/>
          <w:sz w:val="28"/>
          <w:u w:val="single"/>
        </w:rPr>
        <w:t xml:space="preserve">Upcoming </w:t>
      </w:r>
      <w:proofErr w:type="spellStart"/>
      <w:r w:rsidRPr="00107A2C">
        <w:rPr>
          <w:rFonts w:ascii="Microsoft Sans Serif" w:hAnsi="Microsoft Sans Serif" w:cs="Microsoft Sans Serif"/>
          <w:b/>
          <w:smallCaps/>
          <w:sz w:val="28"/>
          <w:u w:val="single"/>
        </w:rPr>
        <w:t>InfoEd</w:t>
      </w:r>
      <w:proofErr w:type="spellEnd"/>
      <w:r w:rsidRPr="00107A2C">
        <w:rPr>
          <w:rFonts w:ascii="Microsoft Sans Serif" w:hAnsi="Microsoft Sans Serif" w:cs="Microsoft Sans Serif"/>
          <w:b/>
          <w:smallCaps/>
          <w:sz w:val="28"/>
          <w:u w:val="single"/>
        </w:rPr>
        <w:t xml:space="preserve"> </w:t>
      </w:r>
      <w:proofErr w:type="spellStart"/>
      <w:r w:rsidRPr="00107A2C">
        <w:rPr>
          <w:rFonts w:ascii="Microsoft Sans Serif" w:hAnsi="Microsoft Sans Serif" w:cs="Microsoft Sans Serif"/>
          <w:b/>
          <w:smallCaps/>
          <w:sz w:val="28"/>
          <w:u w:val="single"/>
        </w:rPr>
        <w:t>Subawardee</w:t>
      </w:r>
      <w:proofErr w:type="spellEnd"/>
      <w:r w:rsidRPr="00107A2C">
        <w:rPr>
          <w:rFonts w:ascii="Microsoft Sans Serif" w:hAnsi="Microsoft Sans Serif" w:cs="Microsoft Sans Serif"/>
          <w:b/>
          <w:smallCaps/>
          <w:sz w:val="28"/>
          <w:u w:val="single"/>
        </w:rPr>
        <w:t xml:space="preserve"> Database Changes</w:t>
      </w:r>
    </w:p>
    <w:p w:rsidR="00283AA4" w:rsidRDefault="00283AA4" w:rsidP="00283AA4">
      <w:pPr>
        <w:pStyle w:val="NoSpacing"/>
      </w:pPr>
      <w:r w:rsidRPr="00AC7D19">
        <w:t xml:space="preserve">Starting </w:t>
      </w:r>
      <w:r>
        <w:t>April 1,</w:t>
      </w:r>
      <w:r w:rsidRPr="00AC7D19">
        <w:t xml:space="preserve"> 2019, the </w:t>
      </w:r>
      <w:proofErr w:type="spellStart"/>
      <w:r w:rsidRPr="00AC7D19">
        <w:t>subawadee</w:t>
      </w:r>
      <w:proofErr w:type="spellEnd"/>
      <w:r w:rsidRPr="00AC7D19">
        <w:t xml:space="preserve"> database </w:t>
      </w:r>
      <w:proofErr w:type="gramStart"/>
      <w:r w:rsidRPr="00AC7D19">
        <w:t>will be locked</w:t>
      </w:r>
      <w:proofErr w:type="gramEnd"/>
      <w:r w:rsidRPr="00AC7D19">
        <w:t xml:space="preserve"> down and departmental users will no longer be able to add new institutions </w:t>
      </w:r>
      <w:r>
        <w:t xml:space="preserve">to the database in </w:t>
      </w:r>
      <w:proofErr w:type="spellStart"/>
      <w:r>
        <w:t>InfoEd</w:t>
      </w:r>
      <w:proofErr w:type="spellEnd"/>
      <w:r w:rsidRPr="00AC7D19">
        <w:t>.</w:t>
      </w:r>
      <w:r>
        <w:t xml:space="preserve"> </w:t>
      </w:r>
      <w:r w:rsidRPr="00AC7D19">
        <w:t xml:space="preserve"> This change is to prevent duplicate and incorrect entries </w:t>
      </w:r>
      <w:proofErr w:type="gramStart"/>
      <w:r w:rsidRPr="00AC7D19">
        <w:t>being created</w:t>
      </w:r>
      <w:proofErr w:type="gramEnd"/>
      <w:r w:rsidRPr="00AC7D19">
        <w:t xml:space="preserve"> in the database and</w:t>
      </w:r>
      <w:r>
        <w:t xml:space="preserve"> to</w:t>
      </w:r>
      <w:r w:rsidRPr="00AC7D19">
        <w:t xml:space="preserve"> remove the need to routinely purge the database of such entries.</w:t>
      </w:r>
    </w:p>
    <w:p w:rsidR="00283AA4" w:rsidRPr="00CD6DE6" w:rsidRDefault="00283AA4" w:rsidP="00283AA4">
      <w:pPr>
        <w:pStyle w:val="NoSpacing"/>
        <w:rPr>
          <w:sz w:val="28"/>
        </w:rPr>
      </w:pPr>
    </w:p>
    <w:p w:rsidR="00107A2C" w:rsidRPr="00107A2C" w:rsidRDefault="00107A2C" w:rsidP="00107A2C">
      <w:pPr>
        <w:jc w:val="center"/>
        <w:rPr>
          <w:rFonts w:ascii="Calibri" w:hAnsi="Calibri" w:cs="Times New Roman"/>
        </w:rPr>
      </w:pPr>
      <w:r w:rsidRPr="00107A2C">
        <w:rPr>
          <w:rFonts w:ascii="Calibri" w:hAnsi="Calibri" w:cs="Times New Roman"/>
          <w:noProof/>
        </w:rPr>
        <w:drawing>
          <wp:inline distT="0" distB="0" distL="0" distR="0" wp14:anchorId="70AC723E" wp14:editId="22A7AF42">
            <wp:extent cx="5943600" cy="1066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awardee Button 3 Edite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066165"/>
                    </a:xfrm>
                    <a:prstGeom prst="rect">
                      <a:avLst/>
                    </a:prstGeom>
                  </pic:spPr>
                </pic:pic>
              </a:graphicData>
            </a:graphic>
          </wp:inline>
        </w:drawing>
      </w:r>
    </w:p>
    <w:p w:rsidR="00CD6DE6" w:rsidRPr="00CD6DE6" w:rsidRDefault="00CD6DE6" w:rsidP="00283AA4">
      <w:pPr>
        <w:pStyle w:val="NoSpacing"/>
        <w:rPr>
          <w:sz w:val="24"/>
        </w:rPr>
      </w:pPr>
    </w:p>
    <w:p w:rsidR="00C13011" w:rsidRDefault="00283AA4" w:rsidP="00283AA4">
      <w:pPr>
        <w:pStyle w:val="NoSpacing"/>
      </w:pPr>
      <w:r w:rsidRPr="00AC7D19">
        <w:t xml:space="preserve">For any new </w:t>
      </w:r>
      <w:proofErr w:type="spellStart"/>
      <w:r w:rsidRPr="00AC7D19">
        <w:t>subaward</w:t>
      </w:r>
      <w:proofErr w:type="spellEnd"/>
      <w:r w:rsidRPr="00AC7D19">
        <w:t xml:space="preserve"> institutions that need to </w:t>
      </w:r>
      <w:proofErr w:type="gramStart"/>
      <w:r w:rsidRPr="00AC7D19">
        <w:t>be added</w:t>
      </w:r>
      <w:proofErr w:type="gramEnd"/>
      <w:r w:rsidRPr="00AC7D19">
        <w:t xml:space="preserve"> </w:t>
      </w:r>
      <w:r>
        <w:t>starting April 1</w:t>
      </w:r>
      <w:r w:rsidRPr="00AC7D19">
        <w:t xml:space="preserve">, please email </w:t>
      </w:r>
      <w:hyperlink r:id="rId12" w:history="1">
        <w:r w:rsidRPr="00025AC5">
          <w:rPr>
            <w:rStyle w:val="Hyperlink"/>
            <w:rFonts w:ascii="Times New Roman" w:hAnsi="Times New Roman" w:cs="Times New Roman"/>
          </w:rPr>
          <w:t>erasupport@ucdenver.edu</w:t>
        </w:r>
      </w:hyperlink>
      <w:r>
        <w:t xml:space="preserve"> </w:t>
      </w:r>
      <w:r w:rsidRPr="00AC7D19">
        <w:t>with the details of the new entity to be added</w:t>
      </w:r>
      <w:r>
        <w:t xml:space="preserve"> (entity name, DUNS number, congressional district, and address)</w:t>
      </w:r>
      <w:r w:rsidRPr="00AC7D19">
        <w:t xml:space="preserve">. Your request </w:t>
      </w:r>
      <w:proofErr w:type="gramStart"/>
      <w:r w:rsidRPr="00AC7D19">
        <w:t>will be handled</w:t>
      </w:r>
      <w:proofErr w:type="gramEnd"/>
      <w:r w:rsidRPr="00AC7D19">
        <w:t xml:space="preserve"> promptly by a member of the </w:t>
      </w:r>
      <w:proofErr w:type="spellStart"/>
      <w:r w:rsidRPr="00AC7D19">
        <w:t>eRA</w:t>
      </w:r>
      <w:proofErr w:type="spellEnd"/>
      <w:r w:rsidRPr="00AC7D19">
        <w:t xml:space="preserve"> Team to minimize any delays in routing.</w:t>
      </w:r>
    </w:p>
    <w:p w:rsidR="00283AA4" w:rsidRDefault="00283AA4" w:rsidP="00283AA4">
      <w:pPr>
        <w:pStyle w:val="NoSpacing"/>
      </w:pPr>
    </w:p>
    <w:p w:rsidR="00CD6DE6" w:rsidRDefault="00CD6DE6" w:rsidP="00283AA4">
      <w:pPr>
        <w:pStyle w:val="NoSpacing"/>
      </w:pPr>
    </w:p>
    <w:p w:rsidR="00283AA4" w:rsidRPr="00283AA4" w:rsidRDefault="00283AA4" w:rsidP="00283AA4">
      <w:pPr>
        <w:pStyle w:val="NoSpacing"/>
        <w:rPr>
          <w:b/>
        </w:rPr>
      </w:pPr>
      <w:r w:rsidRPr="00283AA4">
        <w:rPr>
          <w:b/>
        </w:rPr>
        <w:t>Approvals blocked in Chrome</w:t>
      </w:r>
    </w:p>
    <w:p w:rsidR="00283AA4" w:rsidRDefault="00283AA4" w:rsidP="00283AA4">
      <w:pPr>
        <w:pStyle w:val="NoSpacing"/>
      </w:pPr>
      <w:r>
        <w:t xml:space="preserve">Some users have reported issues with approving routings in </w:t>
      </w:r>
      <w:proofErr w:type="spellStart"/>
      <w:r>
        <w:t>InfoEd</w:t>
      </w:r>
      <w:proofErr w:type="spellEnd"/>
      <w:r>
        <w:t xml:space="preserve">.  </w:t>
      </w:r>
      <w:r w:rsidRPr="002D3099">
        <w:t>If you are having difficulties with approvals</w:t>
      </w:r>
      <w:r>
        <w:t>,</w:t>
      </w:r>
      <w:r w:rsidRPr="002D3099">
        <w:t xml:space="preserve"> the easiest method </w:t>
      </w:r>
      <w:r>
        <w:t xml:space="preserve">to resolve this </w:t>
      </w:r>
      <w:r w:rsidRPr="002D3099">
        <w:t>is to use Firefox or Internet Explorer at this time.</w:t>
      </w:r>
      <w:r>
        <w:t xml:space="preserve"> </w:t>
      </w:r>
      <w:r w:rsidRPr="002D3099">
        <w:t xml:space="preserve"> If using Chrome, a small icon with a red </w:t>
      </w:r>
      <w:r w:rsidRPr="00283AA4">
        <w:rPr>
          <w:b/>
          <w:color w:val="FF0000"/>
        </w:rPr>
        <w:t>X</w:t>
      </w:r>
      <w:r w:rsidRPr="002D3099">
        <w:t xml:space="preserve"> will appear in the upper right corner of the address bar to indicate a pop-up </w:t>
      </w:r>
      <w:proofErr w:type="gramStart"/>
      <w:r w:rsidRPr="002D3099">
        <w:t>has been blocked</w:t>
      </w:r>
      <w:proofErr w:type="gramEnd"/>
      <w:r w:rsidRPr="002D3099">
        <w:t xml:space="preserve">. </w:t>
      </w:r>
      <w:r>
        <w:t xml:space="preserve"> </w:t>
      </w:r>
      <w:r w:rsidRPr="002D3099">
        <w:t xml:space="preserve">To accept the blocked pop-up, click the icon with the red X in the top right corner and select </w:t>
      </w:r>
      <w:r>
        <w:t>“</w:t>
      </w:r>
      <w:r w:rsidRPr="002D3099">
        <w:t>Always allow pop-ups from this page</w:t>
      </w:r>
      <w:r>
        <w:t>”</w:t>
      </w:r>
      <w:r w:rsidRPr="002D3099">
        <w:t>, then click done.</w:t>
      </w:r>
      <w:r>
        <w:t xml:space="preserve"> </w:t>
      </w:r>
      <w:r w:rsidRPr="002D3099">
        <w:t xml:space="preserve"> You may have to refresh the page or click on the approval link in your email to go to the approval page again to continue with the approval process.</w:t>
      </w:r>
    </w:p>
    <w:p w:rsidR="00CD6DE6" w:rsidRPr="00CD6DE6" w:rsidRDefault="00CD6DE6" w:rsidP="00283AA4">
      <w:pPr>
        <w:pStyle w:val="NoSpacing"/>
        <w:rPr>
          <w:sz w:val="28"/>
        </w:rPr>
      </w:pPr>
    </w:p>
    <w:p w:rsidR="00283AA4" w:rsidRPr="002D3099" w:rsidRDefault="00283AA4" w:rsidP="00283AA4">
      <w:pPr>
        <w:ind w:left="720"/>
        <w:rPr>
          <w:rFonts w:ascii="Times New Roman" w:hAnsi="Times New Roman" w:cs="Times New Roman"/>
        </w:rPr>
      </w:pPr>
      <w:r>
        <w:rPr>
          <w:rFonts w:ascii="Times New Roman" w:hAnsi="Times New Roman" w:cs="Times New Roman"/>
          <w:noProof/>
        </w:rPr>
        <w:drawing>
          <wp:inline distT="0" distB="0" distL="0" distR="0" wp14:anchorId="338BE2BE" wp14:editId="18865B55">
            <wp:extent cx="5943600" cy="2576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ome pop up.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576195"/>
                    </a:xfrm>
                    <a:prstGeom prst="rect">
                      <a:avLst/>
                    </a:prstGeom>
                  </pic:spPr>
                </pic:pic>
              </a:graphicData>
            </a:graphic>
          </wp:inline>
        </w:drawing>
      </w:r>
    </w:p>
    <w:p w:rsidR="00283AA4" w:rsidRDefault="00283AA4" w:rsidP="00283AA4">
      <w:pPr>
        <w:pStyle w:val="NoSpacing"/>
        <w:sectPr w:rsidR="00283AA4" w:rsidSect="00107A2C">
          <w:type w:val="continuous"/>
          <w:pgSz w:w="12240" w:h="15840"/>
          <w:pgMar w:top="504" w:right="576" w:bottom="245" w:left="576" w:header="720" w:footer="720" w:gutter="0"/>
          <w:cols w:space="720"/>
          <w:docGrid w:linePitch="360"/>
        </w:sectPr>
      </w:pPr>
    </w:p>
    <w:p w:rsidR="00107A2C" w:rsidRDefault="00107A2C" w:rsidP="00107A2C"/>
    <w:p w:rsidR="00AB4A3A" w:rsidRDefault="00AB4A3A" w:rsidP="00107A2C"/>
    <w:p w:rsidR="00AB4A3A" w:rsidRDefault="00AB4A3A" w:rsidP="00107A2C">
      <w:pPr>
        <w:sectPr w:rsidR="00AB4A3A" w:rsidSect="00C13011">
          <w:type w:val="continuous"/>
          <w:pgSz w:w="12240" w:h="15840"/>
          <w:pgMar w:top="504" w:right="576" w:bottom="245" w:left="576" w:header="720" w:footer="720" w:gutter="0"/>
          <w:cols w:space="720"/>
          <w:docGrid w:linePitch="360"/>
        </w:sectPr>
      </w:pPr>
    </w:p>
    <w:p w:rsidR="00740AEF" w:rsidRDefault="00740AEF" w:rsidP="00740AEF">
      <w:pPr>
        <w:spacing w:after="0"/>
        <w:rPr>
          <w:sz w:val="8"/>
        </w:rPr>
      </w:pPr>
    </w:p>
    <w:p w:rsidR="00AB4A3A" w:rsidRDefault="00AB4A3A" w:rsidP="00740AEF">
      <w:pPr>
        <w:spacing w:after="0"/>
        <w:rPr>
          <w:sz w:val="8"/>
        </w:rPr>
      </w:pPr>
    </w:p>
    <w:p w:rsidR="00AB4A3A" w:rsidRDefault="00AB4A3A" w:rsidP="003D132D">
      <w:pPr>
        <w:rPr>
          <w:color w:val="2F5496" w:themeColor="accent5" w:themeShade="BF"/>
        </w:rPr>
        <w:sectPr w:rsidR="00AB4A3A" w:rsidSect="00AB4A3A">
          <w:type w:val="continuous"/>
          <w:pgSz w:w="12240" w:h="15840"/>
          <w:pgMar w:top="504" w:right="576" w:bottom="245" w:left="576" w:header="720" w:footer="720" w:gutter="0"/>
          <w:cols w:num="2" w:space="720"/>
          <w:docGrid w:linePitch="360"/>
        </w:sectPr>
      </w:pPr>
    </w:p>
    <w:p w:rsidR="0020541C" w:rsidRPr="0020541C" w:rsidRDefault="0020541C" w:rsidP="00B822EA">
      <w:pPr>
        <w:pStyle w:val="NoSpacing"/>
        <w:rPr>
          <w:rFonts w:cs="Microsoft Sans Serif"/>
          <w:smallCaps/>
          <w:sz w:val="16"/>
        </w:rPr>
      </w:pPr>
    </w:p>
    <w:p w:rsidR="00B822EA" w:rsidRPr="00B822EA" w:rsidRDefault="00B822EA" w:rsidP="00B822EA">
      <w:pPr>
        <w:pStyle w:val="NoSpacing"/>
        <w:rPr>
          <w:rFonts w:ascii="Microsoft Sans Serif" w:hAnsi="Microsoft Sans Serif" w:cs="Microsoft Sans Serif"/>
          <w:b/>
          <w:smallCaps/>
          <w:sz w:val="28"/>
          <w:u w:val="single"/>
        </w:rPr>
      </w:pPr>
      <w:r w:rsidRPr="00B822EA">
        <w:rPr>
          <w:rFonts w:ascii="Microsoft Sans Serif" w:hAnsi="Microsoft Sans Serif" w:cs="Microsoft Sans Serif"/>
          <w:b/>
          <w:smallCaps/>
          <w:sz w:val="28"/>
          <w:u w:val="single"/>
        </w:rPr>
        <w:t>2018 Sponsor Compliance Reviews</w:t>
      </w:r>
    </w:p>
    <w:p w:rsidR="00B822EA" w:rsidRPr="00B822EA" w:rsidRDefault="00B822EA" w:rsidP="00B822EA">
      <w:pPr>
        <w:pStyle w:val="NoSpacing"/>
        <w:rPr>
          <w:sz w:val="8"/>
        </w:rPr>
      </w:pPr>
    </w:p>
    <w:p w:rsidR="00B822EA" w:rsidRPr="00CA27C5" w:rsidRDefault="00B822EA" w:rsidP="00B822EA">
      <w:pPr>
        <w:pStyle w:val="NoSpacing"/>
      </w:pPr>
      <w:r w:rsidRPr="00CA27C5">
        <w:t xml:space="preserve">Last year, multiple federal sponsors conducted site visits and desk reviews of the University’s grants management practices and procedures. Federal regulations require agencies to monitor recipients to ensure award terms and conditions </w:t>
      </w:r>
      <w:proofErr w:type="gramStart"/>
      <w:r w:rsidRPr="00CA27C5">
        <w:t>are followed</w:t>
      </w:r>
      <w:proofErr w:type="gramEnd"/>
      <w:r w:rsidRPr="00CA27C5">
        <w:t xml:space="preserve">. </w:t>
      </w:r>
    </w:p>
    <w:p w:rsidR="00B822EA" w:rsidRPr="00B822EA" w:rsidRDefault="00B822EA" w:rsidP="00B822EA">
      <w:pPr>
        <w:pStyle w:val="NoSpacing"/>
        <w:rPr>
          <w:sz w:val="16"/>
        </w:rPr>
      </w:pPr>
    </w:p>
    <w:p w:rsidR="00B822EA" w:rsidRPr="00CA27C5" w:rsidRDefault="00B822EA" w:rsidP="00B822EA">
      <w:pPr>
        <w:pStyle w:val="NoSpacing"/>
      </w:pPr>
      <w:r w:rsidRPr="00CA27C5">
        <w:t>Our recent federal reviews have focused on:</w:t>
      </w:r>
    </w:p>
    <w:p w:rsidR="00B822EA" w:rsidRPr="00CA27C5" w:rsidRDefault="00B822EA" w:rsidP="00B822EA">
      <w:pPr>
        <w:pStyle w:val="NoSpacing"/>
        <w:numPr>
          <w:ilvl w:val="0"/>
          <w:numId w:val="23"/>
        </w:numPr>
      </w:pPr>
      <w:r w:rsidRPr="00CA27C5">
        <w:t xml:space="preserve">Cost </w:t>
      </w:r>
      <w:proofErr w:type="spellStart"/>
      <w:r w:rsidRPr="00CA27C5">
        <w:t>allowability</w:t>
      </w:r>
      <w:proofErr w:type="spellEnd"/>
      <w:r w:rsidRPr="00CA27C5">
        <w:t xml:space="preserve">; </w:t>
      </w:r>
    </w:p>
    <w:p w:rsidR="00B822EA" w:rsidRPr="00CA27C5" w:rsidRDefault="00B822EA" w:rsidP="00B822EA">
      <w:pPr>
        <w:pStyle w:val="NoSpacing"/>
        <w:numPr>
          <w:ilvl w:val="0"/>
          <w:numId w:val="23"/>
        </w:numPr>
      </w:pPr>
      <w:r w:rsidRPr="00CA27C5">
        <w:t xml:space="preserve">Documentation of </w:t>
      </w:r>
      <w:proofErr w:type="spellStart"/>
      <w:r w:rsidRPr="00CA27C5">
        <w:t>subrecipient</w:t>
      </w:r>
      <w:proofErr w:type="spellEnd"/>
      <w:r w:rsidRPr="00CA27C5">
        <w:t xml:space="preserve"> monitoring; </w:t>
      </w:r>
    </w:p>
    <w:p w:rsidR="00B822EA" w:rsidRPr="00CA27C5" w:rsidRDefault="00B822EA" w:rsidP="00B822EA">
      <w:pPr>
        <w:pStyle w:val="NoSpacing"/>
        <w:numPr>
          <w:ilvl w:val="0"/>
          <w:numId w:val="23"/>
        </w:numPr>
      </w:pPr>
      <w:r w:rsidRPr="00CA27C5">
        <w:t xml:space="preserve">Invoicing; </w:t>
      </w:r>
    </w:p>
    <w:p w:rsidR="00B822EA" w:rsidRPr="00CA27C5" w:rsidRDefault="00B822EA" w:rsidP="00B822EA">
      <w:pPr>
        <w:pStyle w:val="NoSpacing"/>
        <w:numPr>
          <w:ilvl w:val="0"/>
          <w:numId w:val="23"/>
        </w:numPr>
      </w:pPr>
      <w:r w:rsidRPr="00CA27C5">
        <w:t>NIH Salary cap violations; and</w:t>
      </w:r>
    </w:p>
    <w:p w:rsidR="00B822EA" w:rsidRPr="00CA27C5" w:rsidRDefault="00B822EA" w:rsidP="00B822EA">
      <w:pPr>
        <w:pStyle w:val="NoSpacing"/>
        <w:numPr>
          <w:ilvl w:val="0"/>
          <w:numId w:val="23"/>
        </w:numPr>
      </w:pPr>
      <w:r w:rsidRPr="00CA27C5">
        <w:t xml:space="preserve">Departmental adherence to University policy, specifically </w:t>
      </w:r>
      <w:proofErr w:type="spellStart"/>
      <w:r w:rsidRPr="00CA27C5">
        <w:t>ePER</w:t>
      </w:r>
      <w:proofErr w:type="spellEnd"/>
      <w:r w:rsidRPr="00CA27C5">
        <w:t xml:space="preserve"> certification.</w:t>
      </w:r>
    </w:p>
    <w:p w:rsidR="00B822EA" w:rsidRPr="00CA27C5" w:rsidRDefault="00B822EA" w:rsidP="00B822EA">
      <w:pPr>
        <w:pStyle w:val="NoSpacing"/>
      </w:pPr>
    </w:p>
    <w:p w:rsidR="00B822EA" w:rsidRPr="00B822EA" w:rsidRDefault="00B822EA" w:rsidP="00B822EA">
      <w:pPr>
        <w:pStyle w:val="NoSpacing"/>
        <w:rPr>
          <w:u w:val="single"/>
        </w:rPr>
      </w:pPr>
      <w:r w:rsidRPr="00B822EA">
        <w:rPr>
          <w:u w:val="single"/>
        </w:rPr>
        <w:t xml:space="preserve">Cost </w:t>
      </w:r>
      <w:proofErr w:type="spellStart"/>
      <w:r w:rsidRPr="00B822EA">
        <w:rPr>
          <w:u w:val="single"/>
        </w:rPr>
        <w:t>Allowability</w:t>
      </w:r>
      <w:proofErr w:type="spellEnd"/>
    </w:p>
    <w:p w:rsidR="00B822EA" w:rsidRPr="00CA27C5" w:rsidRDefault="00B822EA" w:rsidP="00B822EA">
      <w:pPr>
        <w:pStyle w:val="NoSpacing"/>
      </w:pPr>
      <w:r w:rsidRPr="00CA27C5">
        <w:t xml:space="preserve">When charging costs to an award, University personnel must follow the applicable cost principles and the University’s </w:t>
      </w:r>
      <w:hyperlink r:id="rId14" w:history="1">
        <w:r w:rsidRPr="00CA27C5">
          <w:rPr>
            <w:rStyle w:val="Hyperlink"/>
            <w:sz w:val="20"/>
            <w:szCs w:val="20"/>
          </w:rPr>
          <w:t>Direct Charges to Federally Sponsored Projects</w:t>
        </w:r>
      </w:hyperlink>
      <w:r w:rsidRPr="00CA27C5">
        <w:t xml:space="preserve"> policy.  Charges must be:</w:t>
      </w:r>
    </w:p>
    <w:p w:rsidR="00B822EA" w:rsidRPr="00CA27C5" w:rsidRDefault="00B822EA" w:rsidP="00B822EA">
      <w:pPr>
        <w:pStyle w:val="NoSpacing"/>
      </w:pPr>
      <w:r w:rsidRPr="00CA27C5">
        <w:t>Allowable under the University’s policy and under the applicable cost principles for the award;</w:t>
      </w:r>
    </w:p>
    <w:p w:rsidR="00B822EA" w:rsidRPr="00CA27C5" w:rsidRDefault="00B822EA" w:rsidP="00B822EA">
      <w:pPr>
        <w:pStyle w:val="NoSpacing"/>
      </w:pPr>
      <w:r w:rsidRPr="00CA27C5">
        <w:t>Necessary and reasonable for the project;</w:t>
      </w:r>
    </w:p>
    <w:p w:rsidR="00B822EA" w:rsidRPr="00CA27C5" w:rsidRDefault="00B822EA" w:rsidP="00B822EA">
      <w:pPr>
        <w:pStyle w:val="NoSpacing"/>
      </w:pPr>
      <w:r w:rsidRPr="00CA27C5">
        <w:t>Allocable to the project in the proportion of benefit to the project; and</w:t>
      </w:r>
    </w:p>
    <w:p w:rsidR="00B822EA" w:rsidRPr="00CA27C5" w:rsidRDefault="00B822EA" w:rsidP="00B822EA">
      <w:pPr>
        <w:pStyle w:val="NoSpacing"/>
      </w:pPr>
      <w:r w:rsidRPr="00CA27C5">
        <w:t>Consistently treated as either direct costs or indirect (F&amp;A) costs.</w:t>
      </w:r>
    </w:p>
    <w:p w:rsidR="00B822EA" w:rsidRPr="00CA27C5" w:rsidRDefault="00B822EA" w:rsidP="00B822EA">
      <w:pPr>
        <w:pStyle w:val="NoSpacing"/>
      </w:pPr>
    </w:p>
    <w:p w:rsidR="00B822EA" w:rsidRPr="00CA27C5" w:rsidRDefault="00B822EA" w:rsidP="00B822EA">
      <w:pPr>
        <w:pStyle w:val="NoSpacing"/>
      </w:pPr>
      <w:r w:rsidRPr="00CA27C5">
        <w:t xml:space="preserve">Unallowable costs </w:t>
      </w:r>
      <w:proofErr w:type="gramStart"/>
      <w:r w:rsidRPr="00CA27C5">
        <w:t>must be removed</w:t>
      </w:r>
      <w:proofErr w:type="gramEnd"/>
      <w:r w:rsidRPr="00CA27C5">
        <w:t xml:space="preserve"> from the award as soon as possible using either a Payroll Expense Transfer (PET) or Journal Entry (JE). Additional information for completing a PET or JE </w:t>
      </w:r>
      <w:proofErr w:type="gramStart"/>
      <w:r w:rsidRPr="00CA27C5">
        <w:t>can be found</w:t>
      </w:r>
      <w:proofErr w:type="gramEnd"/>
      <w:r w:rsidRPr="00CA27C5">
        <w:t xml:space="preserve"> on the </w:t>
      </w:r>
      <w:hyperlink r:id="rId15" w:history="1">
        <w:r w:rsidRPr="00CA27C5">
          <w:rPr>
            <w:rStyle w:val="Hyperlink"/>
            <w:sz w:val="20"/>
            <w:szCs w:val="20"/>
          </w:rPr>
          <w:t>OGC website</w:t>
        </w:r>
      </w:hyperlink>
      <w:r w:rsidRPr="00CA27C5">
        <w:t xml:space="preserve">. </w:t>
      </w:r>
    </w:p>
    <w:p w:rsidR="00B822EA" w:rsidRPr="00CA27C5" w:rsidRDefault="00B822EA" w:rsidP="00B822EA">
      <w:pPr>
        <w:pStyle w:val="NoSpacing"/>
      </w:pPr>
    </w:p>
    <w:p w:rsidR="00B822EA" w:rsidRPr="00B822EA" w:rsidRDefault="00B822EA" w:rsidP="00B822EA">
      <w:pPr>
        <w:pStyle w:val="NoSpacing"/>
        <w:rPr>
          <w:u w:val="single"/>
        </w:rPr>
      </w:pPr>
      <w:r w:rsidRPr="00B822EA">
        <w:rPr>
          <w:u w:val="single"/>
        </w:rPr>
        <w:t xml:space="preserve">Documenting </w:t>
      </w:r>
      <w:proofErr w:type="spellStart"/>
      <w:r w:rsidRPr="00B822EA">
        <w:rPr>
          <w:u w:val="single"/>
        </w:rPr>
        <w:t>Subrecipient</w:t>
      </w:r>
      <w:proofErr w:type="spellEnd"/>
      <w:r w:rsidRPr="00B822EA">
        <w:rPr>
          <w:u w:val="single"/>
        </w:rPr>
        <w:t xml:space="preserve"> Monitoring </w:t>
      </w:r>
    </w:p>
    <w:p w:rsidR="00B822EA" w:rsidRPr="00CA27C5" w:rsidRDefault="00B822EA" w:rsidP="00B822EA">
      <w:pPr>
        <w:pStyle w:val="NoSpacing"/>
      </w:pPr>
      <w:r w:rsidRPr="00CA27C5">
        <w:t xml:space="preserve">Federal award terms and conditions require the University </w:t>
      </w:r>
      <w:proofErr w:type="gramStart"/>
      <w:r w:rsidRPr="00CA27C5">
        <w:t>to adequately monitor</w:t>
      </w:r>
      <w:proofErr w:type="gramEnd"/>
      <w:r w:rsidRPr="00CA27C5">
        <w:t xml:space="preserve"> our </w:t>
      </w:r>
      <w:proofErr w:type="spellStart"/>
      <w:r w:rsidRPr="00CA27C5">
        <w:t>subrecipients</w:t>
      </w:r>
      <w:proofErr w:type="spellEnd"/>
      <w:r w:rsidRPr="00CA27C5">
        <w:t xml:space="preserve">. In addition to monitoring, the University has a responsibility to document our monitoring activities. The OGC website provides a sample </w:t>
      </w:r>
      <w:hyperlink r:id="rId16" w:history="1">
        <w:r w:rsidRPr="00CA27C5">
          <w:rPr>
            <w:rStyle w:val="Hyperlink"/>
            <w:sz w:val="20"/>
            <w:szCs w:val="20"/>
          </w:rPr>
          <w:t>Subcontract Monitoring Record</w:t>
        </w:r>
      </w:hyperlink>
      <w:r w:rsidRPr="00CA27C5">
        <w:t xml:space="preserve"> form. Departments should use this form, or a similar, form to document </w:t>
      </w:r>
      <w:proofErr w:type="spellStart"/>
      <w:r w:rsidRPr="00CA27C5">
        <w:t>subrecipient</w:t>
      </w:r>
      <w:proofErr w:type="spellEnd"/>
      <w:r w:rsidRPr="00CA27C5">
        <w:t xml:space="preserve"> monitoring activities. </w:t>
      </w:r>
    </w:p>
    <w:p w:rsidR="00B822EA" w:rsidRPr="00CA27C5" w:rsidRDefault="00B822EA" w:rsidP="00B822EA">
      <w:pPr>
        <w:pStyle w:val="NoSpacing"/>
      </w:pPr>
    </w:p>
    <w:p w:rsidR="00B822EA" w:rsidRPr="00B822EA" w:rsidRDefault="00B822EA" w:rsidP="00B822EA">
      <w:pPr>
        <w:pStyle w:val="NoSpacing"/>
        <w:rPr>
          <w:u w:val="single"/>
        </w:rPr>
      </w:pPr>
      <w:r w:rsidRPr="00B822EA">
        <w:rPr>
          <w:u w:val="single"/>
        </w:rPr>
        <w:t xml:space="preserve">Invoicing </w:t>
      </w:r>
    </w:p>
    <w:p w:rsidR="00B822EA" w:rsidRPr="00CA27C5" w:rsidRDefault="00B822EA" w:rsidP="00B822EA">
      <w:pPr>
        <w:pStyle w:val="NoSpacing"/>
      </w:pPr>
      <w:r w:rsidRPr="00CA27C5">
        <w:t xml:space="preserve">The University cannot provide invoices to sponsors based on estimated costs. The University’s policy and federal regulations require the actual incurred costs to </w:t>
      </w:r>
      <w:proofErr w:type="gramStart"/>
      <w:r w:rsidRPr="00CA27C5">
        <w:t>be charged</w:t>
      </w:r>
      <w:proofErr w:type="gramEnd"/>
      <w:r w:rsidRPr="00CA27C5">
        <w:t xml:space="preserve"> to a sponsor.</w:t>
      </w:r>
    </w:p>
    <w:p w:rsidR="00B822EA" w:rsidRPr="00CA27C5" w:rsidRDefault="00B822EA" w:rsidP="00B822EA">
      <w:pPr>
        <w:pStyle w:val="NoSpacing"/>
      </w:pPr>
    </w:p>
    <w:p w:rsidR="00B822EA" w:rsidRPr="00B822EA" w:rsidRDefault="00B822EA" w:rsidP="00B822EA">
      <w:pPr>
        <w:pStyle w:val="NoSpacing"/>
        <w:rPr>
          <w:u w:val="single"/>
        </w:rPr>
      </w:pPr>
      <w:r w:rsidRPr="00B822EA">
        <w:rPr>
          <w:u w:val="single"/>
        </w:rPr>
        <w:t>NIH Salary Cap</w:t>
      </w:r>
    </w:p>
    <w:p w:rsidR="00B822EA" w:rsidRPr="00CA27C5" w:rsidRDefault="00B822EA" w:rsidP="00B822EA">
      <w:pPr>
        <w:pStyle w:val="NoSpacing"/>
      </w:pPr>
      <w:r w:rsidRPr="00CA27C5">
        <w:t xml:space="preserve">Congress limits the salary an individual can receive under NIH awards. The current salary cap is $189,600 per year. This means no individual at the University may receive compensation that exceeds the salary cap. Departments must verify the employees do not exceed the salary cap, and track any excess compensation by using a cost share </w:t>
      </w:r>
      <w:proofErr w:type="spellStart"/>
      <w:r w:rsidRPr="00CA27C5">
        <w:t>speedytpe</w:t>
      </w:r>
      <w:proofErr w:type="spellEnd"/>
      <w:r w:rsidRPr="00CA27C5">
        <w:t xml:space="preserve"> to cover any overages.  The salaries for personnel on a 9-month appointment or part-time appointment </w:t>
      </w:r>
      <w:proofErr w:type="gramStart"/>
      <w:r w:rsidRPr="00CA27C5">
        <w:t>must be converted</w:t>
      </w:r>
      <w:proofErr w:type="gramEnd"/>
      <w:r w:rsidRPr="00CA27C5">
        <w:t xml:space="preserve"> to a 12-month base to verify that the salary cap is not exceeded. </w:t>
      </w:r>
    </w:p>
    <w:p w:rsidR="00B822EA" w:rsidRPr="00CA27C5" w:rsidRDefault="00B822EA" w:rsidP="00B822EA">
      <w:pPr>
        <w:pStyle w:val="NoSpacing"/>
      </w:pPr>
    </w:p>
    <w:p w:rsidR="00B822EA" w:rsidRPr="00B822EA" w:rsidRDefault="00B822EA" w:rsidP="00B822EA">
      <w:pPr>
        <w:pStyle w:val="NoSpacing"/>
        <w:rPr>
          <w:u w:val="single"/>
        </w:rPr>
      </w:pPr>
      <w:r w:rsidRPr="00B822EA">
        <w:rPr>
          <w:u w:val="single"/>
        </w:rPr>
        <w:t>University Policies</w:t>
      </w:r>
    </w:p>
    <w:p w:rsidR="00B822EA" w:rsidRPr="00CA27C5" w:rsidRDefault="00B822EA" w:rsidP="00B822EA">
      <w:pPr>
        <w:pStyle w:val="NoSpacing"/>
      </w:pPr>
      <w:r w:rsidRPr="00CA27C5">
        <w:t xml:space="preserve">A full list of policies and procedures related to sponsor project management </w:t>
      </w:r>
      <w:proofErr w:type="gramStart"/>
      <w:r w:rsidRPr="00CA27C5">
        <w:t>is found</w:t>
      </w:r>
      <w:proofErr w:type="gramEnd"/>
      <w:r w:rsidRPr="00CA27C5">
        <w:t xml:space="preserve"> on the </w:t>
      </w:r>
      <w:hyperlink r:id="rId17" w:history="1">
        <w:r w:rsidRPr="00CA27C5">
          <w:rPr>
            <w:rStyle w:val="Hyperlink"/>
            <w:sz w:val="20"/>
            <w:szCs w:val="20"/>
          </w:rPr>
          <w:t>OGC website</w:t>
        </w:r>
      </w:hyperlink>
      <w:r w:rsidRPr="00CA27C5">
        <w:t xml:space="preserve">.  Adhering to University policies and procedures is a requirement for sponsored projects. </w:t>
      </w:r>
    </w:p>
    <w:p w:rsidR="00B822EA" w:rsidRPr="00CA27C5" w:rsidRDefault="00B822EA" w:rsidP="00B822EA">
      <w:pPr>
        <w:pStyle w:val="NoSpacing"/>
      </w:pPr>
    </w:p>
    <w:p w:rsidR="00B822EA" w:rsidRPr="00CA27C5" w:rsidRDefault="00B822EA" w:rsidP="00B822EA">
      <w:pPr>
        <w:pStyle w:val="NoSpacing"/>
      </w:pPr>
      <w:r w:rsidRPr="00CA27C5">
        <w:t xml:space="preserve">In 2018, multiple federal sponsors reviewed departmental compliance with time and effort reporting. Under the University’s </w:t>
      </w:r>
      <w:hyperlink r:id="rId18" w:history="1">
        <w:r w:rsidRPr="00CA27C5">
          <w:rPr>
            <w:rStyle w:val="Hyperlink"/>
            <w:sz w:val="20"/>
            <w:szCs w:val="20"/>
          </w:rPr>
          <w:t>Time and Effort Reporting on Sponsored Projects Policy</w:t>
        </w:r>
      </w:hyperlink>
      <w:r w:rsidRPr="00CA27C5">
        <w:t xml:space="preserve">, employees are required to certify </w:t>
      </w:r>
      <w:proofErr w:type="spellStart"/>
      <w:r w:rsidRPr="00CA27C5">
        <w:t>ePERs</w:t>
      </w:r>
      <w:proofErr w:type="spellEnd"/>
      <w:r w:rsidRPr="00CA27C5">
        <w:t xml:space="preserve"> within 120 days of the </w:t>
      </w:r>
      <w:proofErr w:type="spellStart"/>
      <w:r w:rsidRPr="00CA27C5">
        <w:t>ePER</w:t>
      </w:r>
      <w:proofErr w:type="spellEnd"/>
      <w:r w:rsidRPr="00CA27C5">
        <w:t xml:space="preserve"> creation. </w:t>
      </w:r>
    </w:p>
    <w:p w:rsidR="00B822EA" w:rsidRPr="00CA27C5" w:rsidRDefault="00B822EA" w:rsidP="00B822EA">
      <w:pPr>
        <w:pStyle w:val="NoSpacing"/>
      </w:pPr>
    </w:p>
    <w:p w:rsidR="00B822EA" w:rsidRPr="00B822EA" w:rsidRDefault="00B822EA" w:rsidP="00B822EA">
      <w:pPr>
        <w:pStyle w:val="NoSpacing"/>
        <w:rPr>
          <w:b/>
        </w:rPr>
      </w:pPr>
      <w:r w:rsidRPr="00B822EA">
        <w:rPr>
          <w:b/>
        </w:rPr>
        <w:t xml:space="preserve">Sponsored Project Trainings for </w:t>
      </w:r>
      <w:proofErr w:type="gramStart"/>
      <w:r w:rsidRPr="00B822EA">
        <w:rPr>
          <w:b/>
        </w:rPr>
        <w:t>Spring</w:t>
      </w:r>
      <w:proofErr w:type="gramEnd"/>
      <w:r w:rsidRPr="00B822EA">
        <w:rPr>
          <w:b/>
        </w:rPr>
        <w:t xml:space="preserve"> 2019</w:t>
      </w:r>
    </w:p>
    <w:p w:rsidR="00B822EA" w:rsidRPr="00CA27C5" w:rsidRDefault="00B822EA" w:rsidP="00B822EA">
      <w:pPr>
        <w:pStyle w:val="NoSpacing"/>
      </w:pPr>
      <w:r w:rsidRPr="00CA27C5">
        <w:t xml:space="preserve">To help ensure compliance with sponsor requirements, Financial Services offers a variety of training courses related to sponsored project administration. The courses </w:t>
      </w:r>
      <w:proofErr w:type="gramStart"/>
      <w:r w:rsidRPr="00CA27C5">
        <w:t>are offered</w:t>
      </w:r>
      <w:proofErr w:type="gramEnd"/>
      <w:r w:rsidRPr="00CA27C5">
        <w:t xml:space="preserve"> at both CU Anschutz and CU Denver and are open to all employees. </w:t>
      </w:r>
    </w:p>
    <w:p w:rsidR="00B822EA" w:rsidRPr="00B822EA" w:rsidRDefault="00B822EA" w:rsidP="00B822EA">
      <w:pPr>
        <w:pStyle w:val="NoSpacing"/>
        <w:rPr>
          <w:sz w:val="16"/>
        </w:rPr>
      </w:pPr>
    </w:p>
    <w:p w:rsidR="00B822EA" w:rsidRPr="00CA27C5" w:rsidRDefault="00B822EA" w:rsidP="00B822EA">
      <w:pPr>
        <w:pStyle w:val="NoSpacing"/>
      </w:pPr>
      <w:r w:rsidRPr="00CA27C5">
        <w:t xml:space="preserve">The courses for </w:t>
      </w:r>
      <w:proofErr w:type="gramStart"/>
      <w:r w:rsidRPr="00CA27C5">
        <w:t>Spring</w:t>
      </w:r>
      <w:proofErr w:type="gramEnd"/>
      <w:r w:rsidRPr="00CA27C5">
        <w:t xml:space="preserve"> 2019 are:</w:t>
      </w:r>
    </w:p>
    <w:p w:rsidR="00B822EA" w:rsidRPr="00CA27C5" w:rsidRDefault="00B822EA" w:rsidP="00D774AE">
      <w:pPr>
        <w:pStyle w:val="NoSpacing"/>
        <w:numPr>
          <w:ilvl w:val="0"/>
          <w:numId w:val="24"/>
        </w:numPr>
      </w:pPr>
      <w:r w:rsidRPr="00CA27C5">
        <w:t>SP 1 – Introduction to Sponsored Projects</w:t>
      </w:r>
    </w:p>
    <w:p w:rsidR="00B822EA" w:rsidRPr="00CA27C5" w:rsidRDefault="00B822EA" w:rsidP="00D774AE">
      <w:pPr>
        <w:pStyle w:val="NoSpacing"/>
        <w:numPr>
          <w:ilvl w:val="0"/>
          <w:numId w:val="24"/>
        </w:numPr>
      </w:pPr>
      <w:r w:rsidRPr="00CA27C5">
        <w:t>SP 2 – Cost Principles for Sponsored Projects</w:t>
      </w:r>
    </w:p>
    <w:p w:rsidR="00B822EA" w:rsidRPr="00CA27C5" w:rsidRDefault="00B822EA" w:rsidP="00D774AE">
      <w:pPr>
        <w:pStyle w:val="NoSpacing"/>
        <w:numPr>
          <w:ilvl w:val="0"/>
          <w:numId w:val="24"/>
        </w:numPr>
      </w:pPr>
      <w:r w:rsidRPr="00CA27C5">
        <w:t>SP 3 – Pre-Award Administration for Sponsored Projects</w:t>
      </w:r>
    </w:p>
    <w:p w:rsidR="00B822EA" w:rsidRPr="00CA27C5" w:rsidRDefault="00B822EA" w:rsidP="00D774AE">
      <w:pPr>
        <w:pStyle w:val="NoSpacing"/>
        <w:numPr>
          <w:ilvl w:val="0"/>
          <w:numId w:val="24"/>
        </w:numPr>
      </w:pPr>
      <w:r w:rsidRPr="00CA27C5">
        <w:t>SP 4 – Post Award Administration for Sponsored Projects</w:t>
      </w:r>
    </w:p>
    <w:p w:rsidR="00B822EA" w:rsidRPr="00CA27C5" w:rsidRDefault="00B822EA" w:rsidP="00D774AE">
      <w:pPr>
        <w:pStyle w:val="NoSpacing"/>
        <w:numPr>
          <w:ilvl w:val="0"/>
          <w:numId w:val="24"/>
        </w:numPr>
      </w:pPr>
      <w:r w:rsidRPr="00CA27C5">
        <w:t>SP 5 – Products of Research</w:t>
      </w:r>
    </w:p>
    <w:p w:rsidR="00B822EA" w:rsidRPr="00CA27C5" w:rsidRDefault="00B822EA" w:rsidP="00D774AE">
      <w:pPr>
        <w:pStyle w:val="NoSpacing"/>
        <w:numPr>
          <w:ilvl w:val="0"/>
          <w:numId w:val="24"/>
        </w:numPr>
      </w:pPr>
      <w:r w:rsidRPr="00CA27C5">
        <w:t>SP 7 – Essential Communication Skills for Research Administrators</w:t>
      </w:r>
    </w:p>
    <w:p w:rsidR="00B822EA" w:rsidRPr="00CA27C5" w:rsidRDefault="00B822EA" w:rsidP="00D774AE">
      <w:pPr>
        <w:pStyle w:val="NoSpacing"/>
        <w:numPr>
          <w:ilvl w:val="0"/>
          <w:numId w:val="24"/>
        </w:numPr>
      </w:pPr>
      <w:r w:rsidRPr="00CA27C5">
        <w:t>SP 8 – Regulatory Compliance Requirements for Sponsored Projects 1</w:t>
      </w:r>
    </w:p>
    <w:p w:rsidR="00B822EA" w:rsidRPr="00CA27C5" w:rsidRDefault="00B822EA" w:rsidP="00D774AE">
      <w:pPr>
        <w:pStyle w:val="NoSpacing"/>
        <w:numPr>
          <w:ilvl w:val="0"/>
          <w:numId w:val="24"/>
        </w:numPr>
      </w:pPr>
      <w:r w:rsidRPr="00CA27C5">
        <w:t>SP 9 – Regulatory Compliance Requirements for Sponsored Projects 2</w:t>
      </w:r>
    </w:p>
    <w:p w:rsidR="00B822EA" w:rsidRPr="00CA27C5" w:rsidRDefault="00B822EA" w:rsidP="00D774AE">
      <w:pPr>
        <w:pStyle w:val="NoSpacing"/>
        <w:numPr>
          <w:ilvl w:val="0"/>
          <w:numId w:val="24"/>
        </w:numPr>
      </w:pPr>
      <w:r w:rsidRPr="00CA27C5">
        <w:t>SP 10 – Clinical Trials</w:t>
      </w:r>
    </w:p>
    <w:p w:rsidR="00B822EA" w:rsidRPr="00CA27C5" w:rsidRDefault="00B822EA" w:rsidP="00D774AE">
      <w:pPr>
        <w:pStyle w:val="NoSpacing"/>
        <w:numPr>
          <w:ilvl w:val="0"/>
          <w:numId w:val="24"/>
        </w:numPr>
      </w:pPr>
      <w:r w:rsidRPr="00CA27C5">
        <w:t>SP 11 – Contracting for Sponsored Projects</w:t>
      </w:r>
    </w:p>
    <w:p w:rsidR="00B822EA" w:rsidRPr="00CA27C5" w:rsidRDefault="00B822EA" w:rsidP="00D774AE">
      <w:pPr>
        <w:pStyle w:val="NoSpacing"/>
        <w:numPr>
          <w:ilvl w:val="0"/>
          <w:numId w:val="24"/>
        </w:numPr>
      </w:pPr>
      <w:r w:rsidRPr="00CA27C5">
        <w:rPr>
          <w:b/>
        </w:rPr>
        <w:t xml:space="preserve">NEW COURSE </w:t>
      </w:r>
      <w:r w:rsidRPr="00CA27C5">
        <w:t xml:space="preserve">SP 12 – Introduction to 2 CFR 200 (Uniform Guidance) </w:t>
      </w:r>
    </w:p>
    <w:p w:rsidR="00B822EA" w:rsidRPr="00CA27C5" w:rsidRDefault="00B822EA" w:rsidP="00D774AE">
      <w:pPr>
        <w:pStyle w:val="NoSpacing"/>
        <w:numPr>
          <w:ilvl w:val="0"/>
          <w:numId w:val="24"/>
        </w:numPr>
      </w:pPr>
      <w:r w:rsidRPr="00CA27C5">
        <w:rPr>
          <w:b/>
        </w:rPr>
        <w:t xml:space="preserve">NEW COURSE </w:t>
      </w:r>
      <w:r w:rsidRPr="00CA27C5">
        <w:t>SP 13 – Introduction to the NIH Grants Policy Statement (NIHGPS)</w:t>
      </w:r>
    </w:p>
    <w:p w:rsidR="00B822EA" w:rsidRPr="00CA27C5" w:rsidRDefault="00B822EA" w:rsidP="00D774AE">
      <w:pPr>
        <w:pStyle w:val="NoSpacing"/>
        <w:numPr>
          <w:ilvl w:val="0"/>
          <w:numId w:val="24"/>
        </w:numPr>
      </w:pPr>
      <w:r w:rsidRPr="00CA27C5">
        <w:rPr>
          <w:b/>
        </w:rPr>
        <w:t xml:space="preserve">NEW COURSE </w:t>
      </w:r>
      <w:r w:rsidRPr="00CA27C5">
        <w:t>SP 14 – Advanced Pre-Award</w:t>
      </w:r>
    </w:p>
    <w:p w:rsidR="00B822EA" w:rsidRPr="00CA27C5" w:rsidRDefault="00B822EA" w:rsidP="00D774AE">
      <w:pPr>
        <w:pStyle w:val="NoSpacing"/>
        <w:numPr>
          <w:ilvl w:val="0"/>
          <w:numId w:val="24"/>
        </w:numPr>
      </w:pPr>
      <w:r w:rsidRPr="00CA27C5">
        <w:rPr>
          <w:b/>
        </w:rPr>
        <w:t xml:space="preserve">NEW COURSE </w:t>
      </w:r>
      <w:r w:rsidRPr="00CA27C5">
        <w:t>SP 15 - Advanced Post Award*</w:t>
      </w:r>
    </w:p>
    <w:p w:rsidR="00B822EA" w:rsidRPr="00CA27C5" w:rsidRDefault="00B822EA" w:rsidP="00D774AE">
      <w:pPr>
        <w:pStyle w:val="NoSpacing"/>
        <w:numPr>
          <w:ilvl w:val="0"/>
          <w:numId w:val="24"/>
        </w:numPr>
      </w:pPr>
      <w:r w:rsidRPr="00CA27C5">
        <w:rPr>
          <w:b/>
        </w:rPr>
        <w:t xml:space="preserve">NEW COURSE </w:t>
      </w:r>
      <w:r w:rsidRPr="00CA27C5">
        <w:t xml:space="preserve">SP 16 – </w:t>
      </w:r>
      <w:proofErr w:type="spellStart"/>
      <w:r w:rsidRPr="00CA27C5">
        <w:t>Subrecipient</w:t>
      </w:r>
      <w:proofErr w:type="spellEnd"/>
      <w:r w:rsidRPr="00CA27C5">
        <w:t xml:space="preserve"> Monitoring Policies and Procedures </w:t>
      </w:r>
    </w:p>
    <w:p w:rsidR="00B822EA" w:rsidRPr="00CA27C5" w:rsidRDefault="00B822EA" w:rsidP="00D774AE">
      <w:pPr>
        <w:pStyle w:val="NoSpacing"/>
        <w:numPr>
          <w:ilvl w:val="0"/>
          <w:numId w:val="24"/>
        </w:numPr>
      </w:pPr>
      <w:r w:rsidRPr="00CA27C5">
        <w:rPr>
          <w:b/>
        </w:rPr>
        <w:t xml:space="preserve">NEW COURSE </w:t>
      </w:r>
      <w:r w:rsidRPr="00CA27C5">
        <w:t xml:space="preserve">SP 17 – Gifts to the University </w:t>
      </w:r>
    </w:p>
    <w:p w:rsidR="00D774AE" w:rsidRPr="00D774AE" w:rsidRDefault="00D774AE" w:rsidP="00B822EA">
      <w:pPr>
        <w:pStyle w:val="NoSpacing"/>
        <w:rPr>
          <w:sz w:val="4"/>
        </w:rPr>
      </w:pPr>
    </w:p>
    <w:p w:rsidR="00B822EA" w:rsidRPr="00CA27C5" w:rsidRDefault="00B822EA" w:rsidP="00B822EA">
      <w:pPr>
        <w:pStyle w:val="NoSpacing"/>
        <w:rPr>
          <w:i/>
        </w:rPr>
      </w:pPr>
      <w:proofErr w:type="gramStart"/>
      <w:r w:rsidRPr="00CA27C5">
        <w:rPr>
          <w:i/>
        </w:rPr>
        <w:t>*Please</w:t>
      </w:r>
      <w:proofErr w:type="gramEnd"/>
      <w:r w:rsidRPr="00CA27C5">
        <w:rPr>
          <w:i/>
        </w:rPr>
        <w:t xml:space="preserve"> note that the Advanced Post Award course replaces SP6: Departmental Best Practices. </w:t>
      </w:r>
    </w:p>
    <w:p w:rsidR="00B822EA" w:rsidRPr="00831F52" w:rsidRDefault="00B822EA" w:rsidP="00B822EA">
      <w:pPr>
        <w:pStyle w:val="NoSpacing"/>
        <w:rPr>
          <w:sz w:val="16"/>
        </w:rPr>
      </w:pPr>
    </w:p>
    <w:p w:rsidR="00B822EA" w:rsidRPr="00CA27C5" w:rsidRDefault="00B822EA" w:rsidP="00B822EA">
      <w:pPr>
        <w:pStyle w:val="NoSpacing"/>
      </w:pPr>
      <w:r w:rsidRPr="00CA27C5">
        <w:t xml:space="preserve">Registration, course descriptions, and time and date offerings for each course </w:t>
      </w:r>
      <w:proofErr w:type="gramStart"/>
      <w:r w:rsidRPr="00CA27C5">
        <w:t>are found</w:t>
      </w:r>
      <w:proofErr w:type="gramEnd"/>
      <w:r w:rsidRPr="00CA27C5">
        <w:t xml:space="preserve"> in SkillSoft. To register for the courses in SkillSoft, please follow these </w:t>
      </w:r>
      <w:hyperlink r:id="rId19" w:history="1">
        <w:r w:rsidRPr="00CA27C5">
          <w:rPr>
            <w:rStyle w:val="Hyperlink"/>
            <w:sz w:val="20"/>
            <w:szCs w:val="20"/>
          </w:rPr>
          <w:t>instructions</w:t>
        </w:r>
      </w:hyperlink>
      <w:r w:rsidRPr="00CA27C5">
        <w:t xml:space="preserve">. </w:t>
      </w:r>
    </w:p>
    <w:p w:rsidR="00B822EA" w:rsidRPr="00B822EA" w:rsidRDefault="00B822EA" w:rsidP="00B822EA">
      <w:pPr>
        <w:pStyle w:val="NoSpacing"/>
        <w:rPr>
          <w:rFonts w:cs="Times New Roman"/>
          <w:sz w:val="16"/>
        </w:rPr>
      </w:pPr>
    </w:p>
    <w:p w:rsidR="003306CC" w:rsidRDefault="00B822EA" w:rsidP="003306CC">
      <w:pPr>
        <w:pStyle w:val="NoSpacing"/>
      </w:pPr>
      <w:r w:rsidRPr="00CA27C5">
        <w:t>Please feel free to reach out to TK Keith (</w:t>
      </w:r>
      <w:hyperlink r:id="rId20" w:history="1">
        <w:r w:rsidRPr="00CA27C5">
          <w:rPr>
            <w:rStyle w:val="Hyperlink"/>
            <w:sz w:val="20"/>
            <w:szCs w:val="20"/>
          </w:rPr>
          <w:t>Thomas.Keithiii@ucdenver.edu</w:t>
        </w:r>
      </w:hyperlink>
      <w:r w:rsidRPr="00CA27C5">
        <w:t>) or Shane Jernigan (</w:t>
      </w:r>
      <w:hyperlink r:id="rId21" w:history="1">
        <w:r w:rsidRPr="00CA27C5">
          <w:rPr>
            <w:rStyle w:val="Hyperlink"/>
            <w:sz w:val="20"/>
            <w:szCs w:val="20"/>
          </w:rPr>
          <w:t>Shane.Jernigan@ucdenver.edu</w:t>
        </w:r>
      </w:hyperlink>
      <w:r w:rsidRPr="00CA27C5">
        <w:t>) if you have questions about the training program.</w:t>
      </w:r>
    </w:p>
    <w:p w:rsidR="00853E2F" w:rsidRPr="00853E2F" w:rsidRDefault="00853E2F" w:rsidP="003306CC">
      <w:pPr>
        <w:pStyle w:val="NoSpacing"/>
        <w:rPr>
          <w:sz w:val="2"/>
        </w:rPr>
        <w:sectPr w:rsidR="00853E2F" w:rsidRPr="00853E2F" w:rsidSect="00C13011">
          <w:type w:val="continuous"/>
          <w:pgSz w:w="12240" w:h="15840"/>
          <w:pgMar w:top="504" w:right="576" w:bottom="245" w:left="576" w:header="720" w:footer="720" w:gutter="0"/>
          <w:cols w:space="720"/>
          <w:docGrid w:linePitch="360"/>
        </w:sectPr>
      </w:pPr>
    </w:p>
    <w:p w:rsidR="003306CC" w:rsidRPr="00831F52" w:rsidRDefault="003306CC" w:rsidP="003306CC">
      <w:pPr>
        <w:pStyle w:val="NoSpacing"/>
        <w:rPr>
          <w:sz w:val="14"/>
          <w:szCs w:val="24"/>
        </w:rPr>
        <w:sectPr w:rsidR="003306CC" w:rsidRPr="00831F52" w:rsidSect="003306CC">
          <w:type w:val="continuous"/>
          <w:pgSz w:w="12240" w:h="15840"/>
          <w:pgMar w:top="504" w:right="576" w:bottom="245" w:left="576" w:header="720" w:footer="720" w:gutter="0"/>
          <w:cols w:num="2" w:space="720"/>
          <w:docGrid w:linePitch="360"/>
        </w:sectPr>
      </w:pPr>
    </w:p>
    <w:p w:rsidR="003306CC" w:rsidRPr="00AB4A3A" w:rsidRDefault="003306CC" w:rsidP="00853E2F">
      <w:pPr>
        <w:pStyle w:val="NoSpacing"/>
        <w:pBdr>
          <w:top w:val="thinThickSmallGap" w:sz="18" w:space="1" w:color="C00000"/>
          <w:left w:val="thinThickSmallGap" w:sz="18" w:space="4" w:color="C00000"/>
          <w:bottom w:val="thickThinSmallGap" w:sz="18" w:space="1" w:color="C00000"/>
          <w:right w:val="thickThinSmallGap" w:sz="18" w:space="4" w:color="C00000"/>
        </w:pBdr>
        <w:jc w:val="center"/>
        <w:rPr>
          <w:rFonts w:ascii="Microsoft Sans Serif" w:hAnsi="Microsoft Sans Serif" w:cs="Microsoft Sans Serif"/>
          <w:b/>
          <w:smallCaps/>
          <w:sz w:val="28"/>
          <w:szCs w:val="24"/>
          <w:u w:val="single"/>
        </w:rPr>
      </w:pPr>
      <w:r w:rsidRPr="00AB4A3A">
        <w:rPr>
          <w:rFonts w:ascii="Microsoft Sans Serif" w:hAnsi="Microsoft Sans Serif" w:cs="Microsoft Sans Serif"/>
          <w:b/>
          <w:smallCaps/>
          <w:sz w:val="28"/>
          <w:szCs w:val="24"/>
          <w:u w:val="single"/>
        </w:rPr>
        <w:t>New OGC Team Members</w:t>
      </w:r>
    </w:p>
    <w:p w:rsidR="003306CC" w:rsidRPr="00AB4A3A" w:rsidRDefault="003306CC" w:rsidP="00831F52">
      <w:pPr>
        <w:pStyle w:val="NoSpacing"/>
        <w:pBdr>
          <w:top w:val="thinThickSmallGap" w:sz="18" w:space="1" w:color="C00000"/>
          <w:left w:val="thinThickSmallGap" w:sz="18" w:space="4" w:color="C00000"/>
          <w:bottom w:val="thickThinSmallGap" w:sz="18" w:space="1" w:color="C00000"/>
          <w:right w:val="thickThinSmallGap" w:sz="18" w:space="4" w:color="C00000"/>
        </w:pBdr>
        <w:rPr>
          <w:sz w:val="16"/>
          <w:szCs w:val="24"/>
        </w:rPr>
      </w:pPr>
    </w:p>
    <w:p w:rsidR="003306CC" w:rsidRPr="00C13011" w:rsidRDefault="003306CC" w:rsidP="00831F52">
      <w:pPr>
        <w:pStyle w:val="NoSpacing"/>
        <w:pBdr>
          <w:top w:val="thinThickSmallGap" w:sz="18" w:space="1" w:color="C00000"/>
          <w:left w:val="thinThickSmallGap" w:sz="18" w:space="4" w:color="C00000"/>
          <w:bottom w:val="thickThinSmallGap" w:sz="18" w:space="1" w:color="C00000"/>
          <w:right w:val="thickThinSmallGap" w:sz="18" w:space="4" w:color="C00000"/>
        </w:pBdr>
        <w:rPr>
          <w:sz w:val="20"/>
          <w:szCs w:val="24"/>
        </w:rPr>
      </w:pPr>
      <w:proofErr w:type="spellStart"/>
      <w:r w:rsidRPr="00AB4A3A">
        <w:rPr>
          <w:b/>
          <w:sz w:val="20"/>
          <w:szCs w:val="24"/>
        </w:rPr>
        <w:t>PreAward</w:t>
      </w:r>
      <w:proofErr w:type="spellEnd"/>
      <w:r w:rsidRPr="00AB4A3A">
        <w:rPr>
          <w:b/>
          <w:sz w:val="20"/>
          <w:szCs w:val="24"/>
        </w:rPr>
        <w:t xml:space="preserve"> Manager</w:t>
      </w:r>
      <w:r w:rsidRPr="00C13011">
        <w:rPr>
          <w:sz w:val="20"/>
          <w:szCs w:val="24"/>
        </w:rPr>
        <w:t xml:space="preserve"> – This month we welcome </w:t>
      </w:r>
      <w:r w:rsidRPr="00A8786A">
        <w:rPr>
          <w:b/>
          <w:color w:val="C00000"/>
          <w:sz w:val="20"/>
          <w:szCs w:val="24"/>
        </w:rPr>
        <w:t>Michael Moore</w:t>
      </w:r>
      <w:r w:rsidRPr="00A8786A">
        <w:rPr>
          <w:color w:val="C00000"/>
          <w:sz w:val="20"/>
          <w:szCs w:val="24"/>
        </w:rPr>
        <w:t xml:space="preserve"> </w:t>
      </w:r>
      <w:r w:rsidRPr="00C13011">
        <w:rPr>
          <w:sz w:val="20"/>
          <w:szCs w:val="24"/>
        </w:rPr>
        <w:t>to the team. </w:t>
      </w:r>
      <w:r>
        <w:rPr>
          <w:sz w:val="20"/>
          <w:szCs w:val="24"/>
        </w:rPr>
        <w:t xml:space="preserve"> </w:t>
      </w:r>
      <w:r w:rsidRPr="00C13011">
        <w:rPr>
          <w:sz w:val="20"/>
          <w:szCs w:val="24"/>
        </w:rPr>
        <w:t xml:space="preserve">Michael </w:t>
      </w:r>
      <w:r>
        <w:rPr>
          <w:sz w:val="20"/>
          <w:szCs w:val="24"/>
        </w:rPr>
        <w:t xml:space="preserve">joins </w:t>
      </w:r>
      <w:r w:rsidRPr="00C13011">
        <w:rPr>
          <w:sz w:val="20"/>
          <w:szCs w:val="24"/>
        </w:rPr>
        <w:t>our team from San Jacinto Community College in Houston</w:t>
      </w:r>
      <w:r>
        <w:rPr>
          <w:sz w:val="20"/>
          <w:szCs w:val="24"/>
        </w:rPr>
        <w:t>,</w:t>
      </w:r>
      <w:r w:rsidRPr="00C13011">
        <w:rPr>
          <w:sz w:val="20"/>
          <w:szCs w:val="24"/>
        </w:rPr>
        <w:t xml:space="preserve"> Texas where he served as the Director of the Office of Grants Management. </w:t>
      </w:r>
      <w:r>
        <w:rPr>
          <w:sz w:val="20"/>
          <w:szCs w:val="24"/>
        </w:rPr>
        <w:t xml:space="preserve"> </w:t>
      </w:r>
      <w:r w:rsidRPr="00C13011">
        <w:rPr>
          <w:sz w:val="20"/>
          <w:szCs w:val="24"/>
        </w:rPr>
        <w:t>He will bring over 15 years of experience in Program Development, Grant Development, and Small Business Capital Funding to the team.</w:t>
      </w:r>
    </w:p>
    <w:p w:rsidR="003306CC" w:rsidRPr="00C13011" w:rsidRDefault="003306CC" w:rsidP="00831F52">
      <w:pPr>
        <w:pStyle w:val="NoSpacing"/>
        <w:pBdr>
          <w:top w:val="thinThickSmallGap" w:sz="18" w:space="1" w:color="C00000"/>
          <w:left w:val="thinThickSmallGap" w:sz="18" w:space="4" w:color="C00000"/>
          <w:bottom w:val="thickThinSmallGap" w:sz="18" w:space="1" w:color="C00000"/>
          <w:right w:val="thickThinSmallGap" w:sz="18" w:space="4" w:color="C00000"/>
        </w:pBdr>
        <w:rPr>
          <w:sz w:val="18"/>
        </w:rPr>
      </w:pPr>
    </w:p>
    <w:p w:rsidR="003306CC" w:rsidRDefault="003306CC" w:rsidP="00831F52">
      <w:pPr>
        <w:pStyle w:val="NoSpacing"/>
        <w:pBdr>
          <w:top w:val="thinThickSmallGap" w:sz="18" w:space="1" w:color="C00000"/>
          <w:left w:val="thinThickSmallGap" w:sz="18" w:space="4" w:color="C00000"/>
          <w:bottom w:val="thickThinSmallGap" w:sz="18" w:space="1" w:color="C00000"/>
          <w:right w:val="thickThinSmallGap" w:sz="18" w:space="4" w:color="C00000"/>
        </w:pBdr>
        <w:rPr>
          <w:sz w:val="20"/>
          <w:szCs w:val="24"/>
        </w:rPr>
      </w:pPr>
      <w:proofErr w:type="spellStart"/>
      <w:r w:rsidRPr="00AB4A3A">
        <w:rPr>
          <w:b/>
          <w:sz w:val="20"/>
          <w:szCs w:val="24"/>
        </w:rPr>
        <w:t>PreAward</w:t>
      </w:r>
      <w:proofErr w:type="spellEnd"/>
      <w:r w:rsidRPr="00AB4A3A">
        <w:rPr>
          <w:b/>
          <w:sz w:val="20"/>
          <w:szCs w:val="24"/>
        </w:rPr>
        <w:t xml:space="preserve"> Specialists</w:t>
      </w:r>
      <w:r w:rsidRPr="00C13011">
        <w:rPr>
          <w:sz w:val="20"/>
          <w:szCs w:val="24"/>
        </w:rPr>
        <w:t xml:space="preserve"> – </w:t>
      </w:r>
      <w:proofErr w:type="gramStart"/>
      <w:r w:rsidRPr="00C13011">
        <w:rPr>
          <w:sz w:val="20"/>
          <w:szCs w:val="24"/>
        </w:rPr>
        <w:t>Also</w:t>
      </w:r>
      <w:proofErr w:type="gramEnd"/>
      <w:r w:rsidRPr="00C13011">
        <w:rPr>
          <w:sz w:val="20"/>
          <w:szCs w:val="24"/>
        </w:rPr>
        <w:t xml:space="preserve"> this month, we welcome </w:t>
      </w:r>
      <w:r w:rsidRPr="00A8786A">
        <w:rPr>
          <w:b/>
          <w:color w:val="C00000"/>
          <w:sz w:val="20"/>
          <w:szCs w:val="24"/>
        </w:rPr>
        <w:t>Myka Barnes-Garcia</w:t>
      </w:r>
      <w:r w:rsidRPr="00C13011">
        <w:rPr>
          <w:sz w:val="20"/>
          <w:szCs w:val="24"/>
        </w:rPr>
        <w:t xml:space="preserve"> and </w:t>
      </w:r>
      <w:r w:rsidRPr="00A8786A">
        <w:rPr>
          <w:b/>
          <w:color w:val="C00000"/>
          <w:sz w:val="20"/>
          <w:szCs w:val="24"/>
        </w:rPr>
        <w:t>David Stein</w:t>
      </w:r>
      <w:r w:rsidRPr="00A8786A">
        <w:rPr>
          <w:color w:val="C00000"/>
          <w:sz w:val="20"/>
          <w:szCs w:val="24"/>
        </w:rPr>
        <w:t xml:space="preserve"> </w:t>
      </w:r>
      <w:r w:rsidRPr="00C13011">
        <w:rPr>
          <w:sz w:val="20"/>
          <w:szCs w:val="24"/>
        </w:rPr>
        <w:t>to the team</w:t>
      </w:r>
      <w:r w:rsidRPr="00C13011">
        <w:rPr>
          <w:color w:val="1F497D"/>
          <w:sz w:val="20"/>
          <w:szCs w:val="24"/>
        </w:rPr>
        <w:t>.</w:t>
      </w:r>
      <w:r>
        <w:rPr>
          <w:color w:val="1F497D"/>
          <w:sz w:val="20"/>
          <w:szCs w:val="24"/>
        </w:rPr>
        <w:t xml:space="preserve"> </w:t>
      </w:r>
      <w:r w:rsidRPr="00C13011">
        <w:rPr>
          <w:color w:val="1F497D"/>
          <w:sz w:val="20"/>
          <w:szCs w:val="24"/>
        </w:rPr>
        <w:t xml:space="preserve"> </w:t>
      </w:r>
      <w:r w:rsidRPr="00C13011">
        <w:rPr>
          <w:sz w:val="20"/>
          <w:szCs w:val="24"/>
        </w:rPr>
        <w:t xml:space="preserve">Both are internal hires from other CU departments so </w:t>
      </w:r>
      <w:proofErr w:type="gramStart"/>
      <w:r w:rsidRPr="00C13011">
        <w:rPr>
          <w:sz w:val="20"/>
          <w:szCs w:val="24"/>
        </w:rPr>
        <w:t>we’re</w:t>
      </w:r>
      <w:proofErr w:type="gramEnd"/>
      <w:r w:rsidRPr="00C13011">
        <w:rPr>
          <w:sz w:val="20"/>
          <w:szCs w:val="24"/>
        </w:rPr>
        <w:t xml:space="preserve"> excited to have them continue to grow professionally with our team. </w:t>
      </w:r>
      <w:r>
        <w:rPr>
          <w:sz w:val="20"/>
          <w:szCs w:val="24"/>
        </w:rPr>
        <w:t xml:space="preserve"> </w:t>
      </w:r>
      <w:r w:rsidRPr="00C13011">
        <w:rPr>
          <w:sz w:val="20"/>
          <w:szCs w:val="24"/>
        </w:rPr>
        <w:t xml:space="preserve">Myka is currently in the practicum phase of her RAWC Fellowship and is close to finishing as part of the inaugural class. </w:t>
      </w:r>
      <w:r>
        <w:rPr>
          <w:sz w:val="20"/>
          <w:szCs w:val="24"/>
        </w:rPr>
        <w:t xml:space="preserve"> </w:t>
      </w:r>
      <w:r w:rsidRPr="00C13011">
        <w:rPr>
          <w:sz w:val="20"/>
          <w:szCs w:val="24"/>
        </w:rPr>
        <w:t xml:space="preserve">As an Army Veteran, we look forward to the leadership and attention to detail David will bring to the team. </w:t>
      </w:r>
      <w:r>
        <w:rPr>
          <w:sz w:val="20"/>
          <w:szCs w:val="24"/>
        </w:rPr>
        <w:t xml:space="preserve"> </w:t>
      </w:r>
      <w:r w:rsidRPr="00C13011">
        <w:rPr>
          <w:sz w:val="20"/>
          <w:szCs w:val="24"/>
        </w:rPr>
        <w:t xml:space="preserve">Both Myka and David have been integral in the </w:t>
      </w:r>
      <w:r w:rsidR="00BF5FFB" w:rsidRPr="00C13011">
        <w:rPr>
          <w:sz w:val="20"/>
          <w:szCs w:val="24"/>
        </w:rPr>
        <w:t>day-to-day</w:t>
      </w:r>
      <w:r w:rsidRPr="00C13011">
        <w:rPr>
          <w:sz w:val="20"/>
          <w:szCs w:val="24"/>
        </w:rPr>
        <w:t xml:space="preserve"> operations of extramurally funded projects on campus. </w:t>
      </w:r>
      <w:r>
        <w:rPr>
          <w:sz w:val="20"/>
          <w:szCs w:val="24"/>
        </w:rPr>
        <w:t xml:space="preserve"> </w:t>
      </w:r>
      <w:r w:rsidRPr="00C13011">
        <w:rPr>
          <w:sz w:val="20"/>
          <w:szCs w:val="24"/>
        </w:rPr>
        <w:t xml:space="preserve">We look forward to the diverse perspective they will bring to the team. </w:t>
      </w:r>
    </w:p>
    <w:p w:rsidR="003306CC" w:rsidRDefault="003306CC" w:rsidP="00831F52">
      <w:pPr>
        <w:pStyle w:val="NoSpacing"/>
        <w:pBdr>
          <w:top w:val="thinThickSmallGap" w:sz="18" w:space="1" w:color="C00000"/>
          <w:left w:val="thinThickSmallGap" w:sz="18" w:space="4" w:color="C00000"/>
          <w:bottom w:val="thickThinSmallGap" w:sz="18" w:space="1" w:color="C00000"/>
          <w:right w:val="thickThinSmallGap" w:sz="18" w:space="4" w:color="C00000"/>
        </w:pBdr>
        <w:rPr>
          <w:sz w:val="20"/>
          <w:szCs w:val="24"/>
        </w:rPr>
      </w:pPr>
    </w:p>
    <w:p w:rsidR="00831F52" w:rsidRPr="00831F52" w:rsidRDefault="003306CC" w:rsidP="00831F52">
      <w:pPr>
        <w:pStyle w:val="NoSpacing"/>
        <w:pBdr>
          <w:top w:val="thinThickSmallGap" w:sz="18" w:space="1" w:color="C00000"/>
          <w:left w:val="thinThickSmallGap" w:sz="18" w:space="4" w:color="C00000"/>
          <w:bottom w:val="thickThinSmallGap" w:sz="18" w:space="1" w:color="C00000"/>
          <w:right w:val="thickThinSmallGap" w:sz="18" w:space="4" w:color="C00000"/>
        </w:pBdr>
        <w:rPr>
          <w:sz w:val="20"/>
        </w:rPr>
      </w:pPr>
      <w:r w:rsidRPr="00831F52">
        <w:rPr>
          <w:b/>
          <w:sz w:val="20"/>
          <w:szCs w:val="24"/>
        </w:rPr>
        <w:t>Billing Specialist</w:t>
      </w:r>
      <w:r w:rsidRPr="00831F52">
        <w:rPr>
          <w:sz w:val="20"/>
          <w:szCs w:val="24"/>
        </w:rPr>
        <w:t xml:space="preserve"> – </w:t>
      </w:r>
      <w:r w:rsidRPr="00831F52">
        <w:rPr>
          <w:b/>
          <w:color w:val="C00000"/>
          <w:sz w:val="20"/>
        </w:rPr>
        <w:t>Cindy Le</w:t>
      </w:r>
      <w:r w:rsidRPr="00831F52">
        <w:rPr>
          <w:color w:val="C00000"/>
          <w:sz w:val="20"/>
        </w:rPr>
        <w:t xml:space="preserve"> </w:t>
      </w:r>
      <w:r w:rsidR="00831F52" w:rsidRPr="00831F52">
        <w:rPr>
          <w:sz w:val="20"/>
        </w:rPr>
        <w:t>is our new</w:t>
      </w:r>
      <w:r w:rsidR="00130959">
        <w:rPr>
          <w:sz w:val="20"/>
        </w:rPr>
        <w:t>est</w:t>
      </w:r>
      <w:r w:rsidR="00831F52" w:rsidRPr="00831F52">
        <w:rPr>
          <w:sz w:val="20"/>
        </w:rPr>
        <w:t xml:space="preserve"> billing team member. She has joined the </w:t>
      </w:r>
      <w:r w:rsidR="00130959">
        <w:rPr>
          <w:sz w:val="20"/>
        </w:rPr>
        <w:t>O</w:t>
      </w:r>
      <w:r w:rsidR="00831F52" w:rsidRPr="00831F52">
        <w:rPr>
          <w:sz w:val="20"/>
        </w:rPr>
        <w:t>ffice of Grants and Contract</w:t>
      </w:r>
      <w:r w:rsidR="00130959">
        <w:rPr>
          <w:sz w:val="20"/>
        </w:rPr>
        <w:t>s</w:t>
      </w:r>
      <w:r w:rsidR="00831F52" w:rsidRPr="00831F52">
        <w:rPr>
          <w:sz w:val="20"/>
        </w:rPr>
        <w:t xml:space="preserve"> from the School of Public Affairs at the downtown campus.  She has four years of experience in Accounting, Finance, and Office management. Cindy has a bachelor’s degree in science and </w:t>
      </w:r>
      <w:r w:rsidR="00130959">
        <w:rPr>
          <w:sz w:val="20"/>
        </w:rPr>
        <w:t>b</w:t>
      </w:r>
      <w:r w:rsidR="00831F52" w:rsidRPr="00831F52">
        <w:rPr>
          <w:sz w:val="20"/>
        </w:rPr>
        <w:t>usiness administration, accounting major and minor in economics.  She is currently working on her masters in Science and Accounting.</w:t>
      </w:r>
    </w:p>
    <w:p w:rsidR="003306CC" w:rsidRPr="00831F52" w:rsidRDefault="003306CC" w:rsidP="00466634">
      <w:pPr>
        <w:pStyle w:val="NoSpacing"/>
        <w:jc w:val="center"/>
        <w:rPr>
          <w:rFonts w:ascii="Microsoft Sans Serif" w:hAnsi="Microsoft Sans Serif" w:cs="Microsoft Sans Serif"/>
          <w:b/>
          <w:smallCaps/>
          <w:sz w:val="28"/>
          <w:u w:val="single"/>
        </w:rPr>
      </w:pPr>
      <w:r w:rsidRPr="00831F52">
        <w:rPr>
          <w:rFonts w:ascii="Microsoft Sans Serif" w:hAnsi="Microsoft Sans Serif" w:cs="Microsoft Sans Serif"/>
          <w:smallCaps/>
          <w:sz w:val="28"/>
          <w:u w:val="single"/>
        </w:rPr>
        <w:br w:type="column"/>
      </w:r>
      <w:r w:rsidRPr="00831F52">
        <w:rPr>
          <w:rFonts w:ascii="Microsoft Sans Serif" w:hAnsi="Microsoft Sans Serif" w:cs="Microsoft Sans Serif"/>
          <w:b/>
          <w:smallCaps/>
          <w:sz w:val="28"/>
          <w:u w:val="single"/>
        </w:rPr>
        <w:t>Compliance in the News</w:t>
      </w:r>
    </w:p>
    <w:p w:rsidR="00466634" w:rsidRPr="00466634" w:rsidRDefault="00466634" w:rsidP="003306CC">
      <w:pPr>
        <w:pStyle w:val="NoSpacing"/>
        <w:rPr>
          <w:sz w:val="16"/>
        </w:rPr>
      </w:pPr>
    </w:p>
    <w:p w:rsidR="003306CC" w:rsidRPr="00CA27C5" w:rsidRDefault="003306CC" w:rsidP="003306CC">
      <w:pPr>
        <w:pStyle w:val="NoSpacing"/>
      </w:pPr>
      <w:r w:rsidRPr="00CA27C5">
        <w:t>The U.S. Department of Justice recently highlighted two cases involving grant mismanagement at other universities.</w:t>
      </w:r>
    </w:p>
    <w:p w:rsidR="003306CC" w:rsidRPr="00130959" w:rsidRDefault="003306CC" w:rsidP="003306CC">
      <w:pPr>
        <w:pStyle w:val="NoSpacing"/>
        <w:rPr>
          <w:sz w:val="20"/>
        </w:rPr>
      </w:pPr>
    </w:p>
    <w:p w:rsidR="003306CC" w:rsidRPr="00CA27C5" w:rsidRDefault="003306CC" w:rsidP="003306CC">
      <w:pPr>
        <w:pStyle w:val="NoSpacing"/>
      </w:pPr>
      <w:r w:rsidRPr="00CA27C5">
        <w:t xml:space="preserve">In January, a university agreed to pay nearly $2.4 million to resolve allegations of misappropriated grant funds. The university is alleged to have placed an order for a large quantity of materials just prior to the end of a grant, </w:t>
      </w:r>
      <w:proofErr w:type="gramStart"/>
      <w:r w:rsidRPr="00CA27C5">
        <w:t>then</w:t>
      </w:r>
      <w:proofErr w:type="gramEnd"/>
      <w:r w:rsidRPr="00CA27C5">
        <w:t xml:space="preserve"> stopped shipment of that material. The university then used the credit from the initial purchase to obtain goods and services unrelated to the project after the </w:t>
      </w:r>
      <w:proofErr w:type="gramStart"/>
      <w:r w:rsidRPr="00CA27C5">
        <w:t>close-out</w:t>
      </w:r>
      <w:proofErr w:type="gramEnd"/>
      <w:r w:rsidRPr="00CA27C5">
        <w:t xml:space="preserve"> of the grant. </w:t>
      </w:r>
    </w:p>
    <w:p w:rsidR="003306CC" w:rsidRPr="00130959" w:rsidRDefault="003306CC" w:rsidP="003306CC">
      <w:pPr>
        <w:pStyle w:val="NoSpacing"/>
        <w:rPr>
          <w:sz w:val="20"/>
        </w:rPr>
      </w:pPr>
    </w:p>
    <w:p w:rsidR="003306CC" w:rsidRDefault="003306CC" w:rsidP="003306CC">
      <w:pPr>
        <w:pStyle w:val="NoSpacing"/>
        <w:sectPr w:rsidR="003306CC" w:rsidSect="003306CC">
          <w:type w:val="continuous"/>
          <w:pgSz w:w="12240" w:h="15840"/>
          <w:pgMar w:top="504" w:right="576" w:bottom="245" w:left="576" w:header="720" w:footer="720" w:gutter="0"/>
          <w:cols w:num="2" w:space="720"/>
          <w:docGrid w:linePitch="360"/>
        </w:sectPr>
      </w:pPr>
      <w:r w:rsidRPr="00CA27C5">
        <w:t xml:space="preserve">In December 2018, a professor at a university pled guilty to stealing money from the federal government. According to court documents, the professor used a credit card to purchase personal items totaling more than $6,900. The professor submitted a fictitious receipt and fraudulent justification for the expenses. Using the fraudulent documents, the university applied the charges to a NASA grant. The professor </w:t>
      </w:r>
      <w:proofErr w:type="gramStart"/>
      <w:r w:rsidRPr="00CA27C5">
        <w:t xml:space="preserve">will </w:t>
      </w:r>
      <w:r>
        <w:t>be sentenced</w:t>
      </w:r>
      <w:proofErr w:type="gramEnd"/>
      <w:r>
        <w:t xml:space="preserve"> on March 27, 2019.</w:t>
      </w:r>
    </w:p>
    <w:p w:rsidR="00130959" w:rsidRDefault="00130959" w:rsidP="002B21C4">
      <w:pPr>
        <w:pStyle w:val="NoSpacing"/>
        <w:rPr>
          <w:rFonts w:ascii="Microsoft Sans Serif" w:hAnsi="Microsoft Sans Serif" w:cs="Microsoft Sans Serif"/>
          <w:b/>
          <w:smallCaps/>
          <w:sz w:val="28"/>
          <w:u w:val="single"/>
        </w:rPr>
      </w:pPr>
    </w:p>
    <w:p w:rsidR="002B21C4" w:rsidRDefault="002B21C4" w:rsidP="002B21C4">
      <w:pPr>
        <w:pStyle w:val="NoSpacing"/>
      </w:pPr>
      <w:r>
        <w:rPr>
          <w:rFonts w:ascii="Microsoft Sans Serif" w:hAnsi="Microsoft Sans Serif" w:cs="Microsoft Sans Serif"/>
          <w:b/>
          <w:smallCaps/>
          <w:sz w:val="28"/>
          <w:u w:val="single"/>
        </w:rPr>
        <w:t>New Closeout Reports Folder in CU-DATA</w:t>
      </w:r>
    </w:p>
    <w:p w:rsidR="002B21C4" w:rsidRDefault="002B21C4" w:rsidP="002B21C4">
      <w:pPr>
        <w:pStyle w:val="NoSpacing"/>
      </w:pPr>
      <w:r>
        <w:t>In CU Data a folder has been created to group common reports OGC recommend for use when a project and/or award is coming to a close. These reports can be found under Team Content&gt;Finance&gt;Report View Shared&gt;Closeout Reports</w:t>
      </w:r>
    </w:p>
    <w:p w:rsidR="002B21C4" w:rsidRPr="002B21C4" w:rsidRDefault="002B21C4" w:rsidP="002B21C4">
      <w:pPr>
        <w:pStyle w:val="NoSpacing"/>
        <w:rPr>
          <w:sz w:val="16"/>
        </w:rPr>
      </w:pPr>
    </w:p>
    <w:p w:rsidR="002B21C4" w:rsidRDefault="002B21C4" w:rsidP="002B21C4">
      <w:pPr>
        <w:pStyle w:val="NoSpacing"/>
      </w:pPr>
      <w:r>
        <w:t>The reports currently included in this folder are:</w:t>
      </w:r>
    </w:p>
    <w:p w:rsidR="002B21C4" w:rsidRDefault="002B21C4" w:rsidP="002B21C4">
      <w:pPr>
        <w:pStyle w:val="NoSpacing"/>
        <w:ind w:left="720"/>
      </w:pPr>
      <w:proofErr w:type="gramStart"/>
      <w:r>
        <w:t>m-FIN</w:t>
      </w:r>
      <w:proofErr w:type="gramEnd"/>
      <w:r>
        <w:t xml:space="preserve"> Trial Balance Summary</w:t>
      </w:r>
    </w:p>
    <w:p w:rsidR="002B21C4" w:rsidRDefault="002B21C4" w:rsidP="002B21C4">
      <w:pPr>
        <w:pStyle w:val="NoSpacing"/>
        <w:ind w:left="720"/>
      </w:pPr>
      <w:r>
        <w:t xml:space="preserve"> </w:t>
      </w:r>
      <w:proofErr w:type="gramStart"/>
      <w:r>
        <w:t>m-Fin</w:t>
      </w:r>
      <w:proofErr w:type="gramEnd"/>
      <w:r>
        <w:t xml:space="preserve"> Payments Received </w:t>
      </w:r>
    </w:p>
    <w:p w:rsidR="002B21C4" w:rsidRDefault="002B21C4" w:rsidP="002B21C4">
      <w:pPr>
        <w:pStyle w:val="NoSpacing"/>
        <w:ind w:left="720"/>
      </w:pPr>
      <w:proofErr w:type="gramStart"/>
      <w:r>
        <w:t>m-Fin</w:t>
      </w:r>
      <w:proofErr w:type="gramEnd"/>
      <w:r>
        <w:t xml:space="preserve"> Award </w:t>
      </w:r>
    </w:p>
    <w:p w:rsidR="002B21C4" w:rsidRDefault="002B21C4" w:rsidP="002B21C4">
      <w:pPr>
        <w:pStyle w:val="NoSpacing"/>
        <w:ind w:left="720"/>
      </w:pPr>
      <w:proofErr w:type="gramStart"/>
      <w:r>
        <w:t>m-Fin</w:t>
      </w:r>
      <w:proofErr w:type="gramEnd"/>
      <w:r>
        <w:t xml:space="preserve"> Compensation Summary </w:t>
      </w:r>
    </w:p>
    <w:p w:rsidR="002B21C4" w:rsidRDefault="002B21C4" w:rsidP="002B21C4">
      <w:pPr>
        <w:pStyle w:val="NoSpacing"/>
        <w:ind w:left="720"/>
      </w:pPr>
      <w:proofErr w:type="gramStart"/>
      <w:r>
        <w:t>m-Fin</w:t>
      </w:r>
      <w:proofErr w:type="gramEnd"/>
      <w:r>
        <w:t xml:space="preserve"> Financial Detail</w:t>
      </w:r>
    </w:p>
    <w:p w:rsidR="002B21C4" w:rsidRPr="002B21C4" w:rsidRDefault="002B21C4" w:rsidP="002B21C4">
      <w:pPr>
        <w:pStyle w:val="NoSpacing"/>
        <w:rPr>
          <w:sz w:val="16"/>
        </w:rPr>
      </w:pPr>
    </w:p>
    <w:p w:rsidR="002B21C4" w:rsidRDefault="002B21C4" w:rsidP="002B21C4">
      <w:pPr>
        <w:pStyle w:val="NoSpacing"/>
      </w:pPr>
      <w:r>
        <w:t xml:space="preserve">We are working to get a report for “Outstanding </w:t>
      </w:r>
      <w:proofErr w:type="spellStart"/>
      <w:r>
        <w:t>Epers</w:t>
      </w:r>
      <w:proofErr w:type="spellEnd"/>
      <w:r>
        <w:t xml:space="preserve"> by Project ID”.  Once that report is available, we will add it to this folder. </w:t>
      </w:r>
    </w:p>
    <w:p w:rsidR="002B21C4" w:rsidRPr="002B21C4" w:rsidRDefault="002B21C4" w:rsidP="002B21C4">
      <w:pPr>
        <w:pStyle w:val="NoSpacing"/>
        <w:rPr>
          <w:sz w:val="16"/>
        </w:rPr>
      </w:pPr>
    </w:p>
    <w:p w:rsidR="002B21C4" w:rsidRDefault="002B21C4" w:rsidP="002B21C4">
      <w:pPr>
        <w:pStyle w:val="NoSpacing"/>
      </w:pPr>
      <w:r>
        <w:t xml:space="preserve">For easier access, you can copy this folder to your “My Content” folder for future use.  To do this, navigate to the folder and click on the three dots to the left of the Closeout Reports folder.  You will have the option to Copy the folder, once you do this, you can choose “My Content” as your destination.  </w:t>
      </w:r>
    </w:p>
    <w:p w:rsidR="002B21C4" w:rsidRPr="002B21C4" w:rsidRDefault="002B21C4" w:rsidP="002B21C4">
      <w:pPr>
        <w:pStyle w:val="NoSpacing"/>
        <w:rPr>
          <w:sz w:val="16"/>
        </w:rPr>
      </w:pPr>
    </w:p>
    <w:p w:rsidR="002B21C4" w:rsidRDefault="002B21C4" w:rsidP="002B21C4">
      <w:pPr>
        <w:pStyle w:val="NoSpacing"/>
      </w:pPr>
      <w:r>
        <w:t xml:space="preserve">If you have feedback on other </w:t>
      </w:r>
      <w:proofErr w:type="gramStart"/>
      <w:r>
        <w:t>reports</w:t>
      </w:r>
      <w:proofErr w:type="gramEnd"/>
      <w:r>
        <w:t xml:space="preserve"> we should add to this folder or assistance please contact your post award administrator.</w:t>
      </w:r>
    </w:p>
    <w:p w:rsidR="002B21C4" w:rsidRDefault="002B21C4" w:rsidP="003306CC">
      <w:pPr>
        <w:pStyle w:val="NoSpacing"/>
        <w:pBdr>
          <w:bottom w:val="single" w:sz="6" w:space="1" w:color="auto"/>
        </w:pBdr>
      </w:pPr>
    </w:p>
    <w:p w:rsidR="00F402AA" w:rsidRDefault="00F402AA" w:rsidP="00AB134B">
      <w:pPr>
        <w:pStyle w:val="NoSpacing"/>
        <w:rPr>
          <w:rFonts w:ascii="Microsoft Sans Serif" w:hAnsi="Microsoft Sans Serif" w:cs="Microsoft Sans Serif"/>
          <w:b/>
          <w:smallCaps/>
          <w:sz w:val="28"/>
          <w:u w:val="single"/>
        </w:rPr>
      </w:pPr>
    </w:p>
    <w:p w:rsidR="00F402AA" w:rsidRDefault="00F402AA" w:rsidP="00AB134B">
      <w:pPr>
        <w:pStyle w:val="NoSpacing"/>
        <w:rPr>
          <w:rFonts w:ascii="Microsoft Sans Serif" w:hAnsi="Microsoft Sans Serif" w:cs="Microsoft Sans Serif"/>
          <w:b/>
          <w:smallCaps/>
          <w:sz w:val="28"/>
          <w:u w:val="single"/>
        </w:rPr>
        <w:sectPr w:rsidR="00F402AA" w:rsidSect="0088259D">
          <w:type w:val="continuous"/>
          <w:pgSz w:w="12240" w:h="15840"/>
          <w:pgMar w:top="504" w:right="576" w:bottom="245" w:left="576" w:header="720" w:footer="720" w:gutter="0"/>
          <w:cols w:space="720"/>
          <w:docGrid w:linePitch="360"/>
        </w:sectPr>
      </w:pPr>
    </w:p>
    <w:p w:rsidR="00AB134B" w:rsidRDefault="00AB134B" w:rsidP="00AB134B">
      <w:pPr>
        <w:pStyle w:val="NoSpacing"/>
      </w:pPr>
      <w:r>
        <w:rPr>
          <w:rFonts w:ascii="Microsoft Sans Serif" w:hAnsi="Microsoft Sans Serif" w:cs="Microsoft Sans Serif"/>
          <w:b/>
          <w:smallCaps/>
          <w:sz w:val="28"/>
          <w:u w:val="single"/>
        </w:rPr>
        <w:t>Reports to Burst for Projects Ended</w:t>
      </w:r>
    </w:p>
    <w:p w:rsidR="00AB134B" w:rsidRPr="00AB134B" w:rsidRDefault="00AB134B" w:rsidP="00AB134B">
      <w:pPr>
        <w:pStyle w:val="NoSpacing"/>
        <w:rPr>
          <w:sz w:val="21"/>
          <w:szCs w:val="21"/>
        </w:rPr>
      </w:pPr>
      <w:r w:rsidRPr="002B21C4">
        <w:rPr>
          <w:szCs w:val="20"/>
        </w:rPr>
        <w:t>In April</w:t>
      </w:r>
      <w:r w:rsidR="00FA2FF2">
        <w:rPr>
          <w:szCs w:val="20"/>
        </w:rPr>
        <w:t>,</w:t>
      </w:r>
      <w:r w:rsidRPr="002B21C4">
        <w:rPr>
          <w:szCs w:val="20"/>
        </w:rPr>
        <w:t xml:space="preserve"> OGC post award will be releasing the second batch of closeout reports. </w:t>
      </w:r>
      <w:r w:rsidR="00FA2FF2">
        <w:rPr>
          <w:szCs w:val="20"/>
        </w:rPr>
        <w:t xml:space="preserve"> </w:t>
      </w:r>
      <w:r w:rsidRPr="002B21C4">
        <w:rPr>
          <w:szCs w:val="20"/>
        </w:rPr>
        <w:t xml:space="preserve">These reports will identify projects that have recently ended. </w:t>
      </w:r>
      <w:r w:rsidR="00FA2FF2">
        <w:rPr>
          <w:szCs w:val="20"/>
        </w:rPr>
        <w:t xml:space="preserve"> </w:t>
      </w:r>
      <w:r w:rsidRPr="002B21C4">
        <w:rPr>
          <w:szCs w:val="20"/>
        </w:rPr>
        <w:t xml:space="preserve">The reports will list projects that are 30, 60 and 90 days after the project end date. </w:t>
      </w:r>
      <w:r w:rsidR="00FA2FF2">
        <w:rPr>
          <w:szCs w:val="20"/>
        </w:rPr>
        <w:t xml:space="preserve"> </w:t>
      </w:r>
      <w:r w:rsidRPr="002B21C4">
        <w:rPr>
          <w:szCs w:val="20"/>
        </w:rPr>
        <w:t>These reports will be similar in format to the 90, 60, 30 days before end date, but will be color coded for ease of viewing.</w:t>
      </w:r>
      <w:r w:rsidR="00FA2FF2">
        <w:rPr>
          <w:szCs w:val="20"/>
        </w:rPr>
        <w:t xml:space="preserve"> </w:t>
      </w:r>
      <w:r w:rsidRPr="002B21C4">
        <w:rPr>
          <w:szCs w:val="20"/>
        </w:rPr>
        <w:t xml:space="preserve"> You</w:t>
      </w:r>
      <w:r w:rsidR="00FA2FF2">
        <w:rPr>
          <w:szCs w:val="20"/>
        </w:rPr>
        <w:t>r</w:t>
      </w:r>
      <w:r w:rsidRPr="002B21C4">
        <w:rPr>
          <w:szCs w:val="20"/>
        </w:rPr>
        <w:t xml:space="preserve"> projects in Ended Status will have Yellow headers, and projects in Reporting Status will have Red headers.  We have also published on our website both of the closeout checklists. </w:t>
      </w:r>
      <w:r w:rsidR="00FA2FF2">
        <w:rPr>
          <w:szCs w:val="20"/>
        </w:rPr>
        <w:t xml:space="preserve"> </w:t>
      </w:r>
      <w:r w:rsidRPr="002B21C4">
        <w:rPr>
          <w:szCs w:val="20"/>
        </w:rPr>
        <w:t xml:space="preserve">They </w:t>
      </w:r>
      <w:proofErr w:type="gramStart"/>
      <w:r w:rsidRPr="002B21C4">
        <w:rPr>
          <w:szCs w:val="20"/>
        </w:rPr>
        <w:t>can be found</w:t>
      </w:r>
      <w:proofErr w:type="gramEnd"/>
      <w:r w:rsidRPr="002B21C4">
        <w:rPr>
          <w:szCs w:val="20"/>
        </w:rPr>
        <w:t xml:space="preserve"> in our A-Z resources on the Office of Grants and Contracts website under “Closeout”. </w:t>
      </w:r>
      <w:hyperlink r:id="rId22" w:history="1">
        <w:r w:rsidRPr="00AB134B">
          <w:rPr>
            <w:rStyle w:val="Hyperlink"/>
            <w:sz w:val="21"/>
            <w:szCs w:val="21"/>
          </w:rPr>
          <w:t>http://www.ucdenver.edu/research/OGC/Pages/AtoZ.aspx</w:t>
        </w:r>
      </w:hyperlink>
    </w:p>
    <w:p w:rsidR="00AB134B" w:rsidRPr="002B21C4" w:rsidRDefault="00AB134B" w:rsidP="00AB134B">
      <w:pPr>
        <w:pStyle w:val="NoSpacing"/>
        <w:rPr>
          <w:sz w:val="16"/>
          <w:szCs w:val="20"/>
        </w:rPr>
      </w:pPr>
      <w:bookmarkStart w:id="0" w:name="_GoBack"/>
      <w:bookmarkEnd w:id="0"/>
    </w:p>
    <w:p w:rsidR="00AB134B" w:rsidRPr="002B21C4" w:rsidRDefault="00AB134B" w:rsidP="00AB134B">
      <w:pPr>
        <w:pStyle w:val="NoSpacing"/>
        <w:rPr>
          <w:rFonts w:cs="Arial"/>
          <w:szCs w:val="20"/>
        </w:rPr>
      </w:pPr>
      <w:r w:rsidRPr="002B21C4">
        <w:rPr>
          <w:szCs w:val="20"/>
        </w:rPr>
        <w:t>If you have any feedback once you start getting these reports</w:t>
      </w:r>
      <w:r w:rsidR="00FA2FF2">
        <w:rPr>
          <w:szCs w:val="20"/>
        </w:rPr>
        <w:t>,</w:t>
      </w:r>
      <w:r w:rsidRPr="002B21C4">
        <w:rPr>
          <w:szCs w:val="20"/>
        </w:rPr>
        <w:t xml:space="preserve"> please contact Stephanie at </w:t>
      </w:r>
      <w:hyperlink r:id="rId23" w:history="1">
        <w:r w:rsidRPr="002B21C4">
          <w:rPr>
            <w:rStyle w:val="Hyperlink"/>
            <w:rFonts w:cs="Arial"/>
            <w:szCs w:val="20"/>
          </w:rPr>
          <w:t>stephanie.thompson@ucdenver.edu</w:t>
        </w:r>
      </w:hyperlink>
      <w:r w:rsidRPr="002B21C4">
        <w:rPr>
          <w:rFonts w:cs="Arial"/>
          <w:szCs w:val="20"/>
        </w:rPr>
        <w:t xml:space="preserve">. </w:t>
      </w:r>
    </w:p>
    <w:p w:rsidR="003306CC" w:rsidRPr="00F65E7C" w:rsidRDefault="00F402AA" w:rsidP="003306CC">
      <w:pPr>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br w:type="column"/>
      </w:r>
      <w:r w:rsidR="00F65E7C" w:rsidRPr="00F65E7C">
        <w:rPr>
          <w:rFonts w:ascii="Microsoft Sans Serif" w:hAnsi="Microsoft Sans Serif" w:cs="Microsoft Sans Serif"/>
          <w:b/>
          <w:smallCaps/>
          <w:sz w:val="28"/>
          <w:u w:val="single"/>
        </w:rPr>
        <w:t>Employment Opportunities</w:t>
      </w:r>
    </w:p>
    <w:p w:rsidR="003306CC" w:rsidRDefault="003306CC" w:rsidP="002B21C4">
      <w:pPr>
        <w:pStyle w:val="NoSpacing"/>
      </w:pPr>
      <w:r w:rsidRPr="00C61887">
        <w:t>The Office</w:t>
      </w:r>
      <w:r>
        <w:t xml:space="preserve"> of Grants and Contracts is conducting several searches in the </w:t>
      </w:r>
      <w:proofErr w:type="spellStart"/>
      <w:r>
        <w:t>PostAward</w:t>
      </w:r>
      <w:proofErr w:type="spellEnd"/>
      <w:r>
        <w:t xml:space="preserve"> unit</w:t>
      </w:r>
      <w:r w:rsidRPr="00C61887">
        <w:t>.  To see a list of specific job duties, please refer to the job posting</w:t>
      </w:r>
      <w:r>
        <w:t xml:space="preserve"> in </w:t>
      </w:r>
      <w:hyperlink r:id="rId24" w:history="1">
        <w:r w:rsidRPr="00BF6C2E">
          <w:rPr>
            <w:rStyle w:val="Hyperlink"/>
          </w:rPr>
          <w:t>CU Careers</w:t>
        </w:r>
      </w:hyperlink>
      <w:r w:rsidRPr="00C61887">
        <w:t>.</w:t>
      </w:r>
    </w:p>
    <w:p w:rsidR="002B21C4" w:rsidRPr="002B21C4" w:rsidRDefault="002B21C4" w:rsidP="002B21C4">
      <w:pPr>
        <w:pStyle w:val="NoSpacing"/>
        <w:rPr>
          <w:sz w:val="12"/>
        </w:rPr>
      </w:pPr>
    </w:p>
    <w:p w:rsidR="003306CC" w:rsidRDefault="003306CC" w:rsidP="003306CC">
      <w:pPr>
        <w:pStyle w:val="NoSpacing"/>
        <w:numPr>
          <w:ilvl w:val="0"/>
          <w:numId w:val="13"/>
        </w:numPr>
        <w:rPr>
          <w:color w:val="000000" w:themeColor="text1"/>
        </w:rPr>
      </w:pPr>
      <w:proofErr w:type="spellStart"/>
      <w:r>
        <w:rPr>
          <w:color w:val="000000" w:themeColor="text1"/>
        </w:rPr>
        <w:t>PostAward</w:t>
      </w:r>
      <w:proofErr w:type="spellEnd"/>
      <w:r>
        <w:rPr>
          <w:color w:val="000000" w:themeColor="text1"/>
        </w:rPr>
        <w:t xml:space="preserve"> Administrator (15741) – Interviews are in progress.</w:t>
      </w:r>
      <w:r w:rsidR="00BC1C7E">
        <w:rPr>
          <w:color w:val="000000" w:themeColor="text1"/>
        </w:rPr>
        <w:t xml:space="preserve">  Open until filled.</w:t>
      </w:r>
    </w:p>
    <w:p w:rsidR="003306CC" w:rsidRDefault="003306CC" w:rsidP="003306CC">
      <w:pPr>
        <w:pStyle w:val="NoSpacing"/>
        <w:numPr>
          <w:ilvl w:val="0"/>
          <w:numId w:val="13"/>
        </w:numPr>
        <w:rPr>
          <w:color w:val="000000" w:themeColor="text1"/>
        </w:rPr>
      </w:pPr>
      <w:r>
        <w:rPr>
          <w:color w:val="000000" w:themeColor="text1"/>
        </w:rPr>
        <w:t>Closeout Specialist (15753) – Interviews are in progress.</w:t>
      </w:r>
      <w:r w:rsidR="00BC1C7E">
        <w:rPr>
          <w:color w:val="000000" w:themeColor="text1"/>
        </w:rPr>
        <w:t xml:space="preserve">  Open until filled.</w:t>
      </w:r>
    </w:p>
    <w:p w:rsidR="00F65E7C" w:rsidRDefault="00F65E7C" w:rsidP="003306CC">
      <w:pPr>
        <w:pStyle w:val="NoSpacing"/>
        <w:numPr>
          <w:ilvl w:val="0"/>
          <w:numId w:val="13"/>
        </w:numPr>
        <w:rPr>
          <w:color w:val="000000" w:themeColor="text1"/>
        </w:rPr>
      </w:pPr>
      <w:r>
        <w:rPr>
          <w:color w:val="000000" w:themeColor="text1"/>
        </w:rPr>
        <w:t>Accounting Professional (15</w:t>
      </w:r>
      <w:r w:rsidR="00BC1C7E">
        <w:rPr>
          <w:color w:val="000000" w:themeColor="text1"/>
        </w:rPr>
        <w:t xml:space="preserve">909) – Position </w:t>
      </w:r>
      <w:proofErr w:type="gramStart"/>
      <w:r w:rsidR="00F402AA">
        <w:rPr>
          <w:color w:val="000000" w:themeColor="text1"/>
        </w:rPr>
        <w:t xml:space="preserve">is </w:t>
      </w:r>
      <w:r w:rsidR="00BC1C7E">
        <w:rPr>
          <w:color w:val="000000" w:themeColor="text1"/>
        </w:rPr>
        <w:t>posted</w:t>
      </w:r>
      <w:proofErr w:type="gramEnd"/>
      <w:r w:rsidR="00BC1C7E">
        <w:rPr>
          <w:color w:val="000000" w:themeColor="text1"/>
        </w:rPr>
        <w:t xml:space="preserve"> in CU Careers.</w:t>
      </w:r>
    </w:p>
    <w:p w:rsidR="00BC1C7E" w:rsidRPr="00B546BD" w:rsidRDefault="00BC1C7E" w:rsidP="003306CC">
      <w:pPr>
        <w:pStyle w:val="NoSpacing"/>
        <w:numPr>
          <w:ilvl w:val="0"/>
          <w:numId w:val="13"/>
        </w:numPr>
        <w:rPr>
          <w:color w:val="000000" w:themeColor="text1"/>
        </w:rPr>
      </w:pPr>
      <w:r>
        <w:rPr>
          <w:color w:val="000000" w:themeColor="text1"/>
        </w:rPr>
        <w:t xml:space="preserve">Sponsored Project Award Specialist (15955) – </w:t>
      </w:r>
      <w:r w:rsidR="00BF4AD9">
        <w:rPr>
          <w:color w:val="000000" w:themeColor="text1"/>
        </w:rPr>
        <w:t xml:space="preserve">Position </w:t>
      </w:r>
      <w:proofErr w:type="gramStart"/>
      <w:r w:rsidR="00BF4AD9">
        <w:rPr>
          <w:color w:val="000000" w:themeColor="text1"/>
        </w:rPr>
        <w:t>is posted</w:t>
      </w:r>
      <w:proofErr w:type="gramEnd"/>
      <w:r w:rsidR="00BF4AD9">
        <w:rPr>
          <w:color w:val="000000" w:themeColor="text1"/>
        </w:rPr>
        <w:t xml:space="preserve"> in CU Careers.</w:t>
      </w:r>
    </w:p>
    <w:p w:rsidR="00AB134B" w:rsidRDefault="00AB134B" w:rsidP="00B822EA">
      <w:pPr>
        <w:pStyle w:val="NoSpacing"/>
        <w:rPr>
          <w:b/>
        </w:rPr>
        <w:sectPr w:rsidR="00AB134B" w:rsidSect="00AB134B">
          <w:type w:val="continuous"/>
          <w:pgSz w:w="12240" w:h="15840"/>
          <w:pgMar w:top="504" w:right="576" w:bottom="245" w:left="576" w:header="720" w:footer="720" w:gutter="0"/>
          <w:cols w:num="2" w:space="720"/>
          <w:docGrid w:linePitch="360"/>
        </w:sectPr>
      </w:pPr>
    </w:p>
    <w:p w:rsidR="003306CC" w:rsidRPr="00CA27C5" w:rsidRDefault="003306CC" w:rsidP="00B822EA">
      <w:pPr>
        <w:pStyle w:val="NoSpacing"/>
        <w:rPr>
          <w:b/>
        </w:rPr>
      </w:pPr>
    </w:p>
    <w:sectPr w:rsidR="003306CC" w:rsidRPr="00CA27C5" w:rsidSect="0088259D">
      <w:type w:val="continuous"/>
      <w:pgSz w:w="12240" w:h="15840"/>
      <w:pgMar w:top="504"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18" w:rsidRDefault="000C4B18" w:rsidP="00E036B1">
      <w:pPr>
        <w:spacing w:after="0" w:line="240" w:lineRule="auto"/>
      </w:pPr>
      <w:r>
        <w:separator/>
      </w:r>
    </w:p>
  </w:endnote>
  <w:endnote w:type="continuationSeparator" w:id="0">
    <w:p w:rsidR="000C4B18" w:rsidRDefault="000C4B18"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18" w:rsidRDefault="000C4B18" w:rsidP="00E036B1">
      <w:pPr>
        <w:spacing w:after="0" w:line="240" w:lineRule="auto"/>
      </w:pPr>
      <w:r>
        <w:separator/>
      </w:r>
    </w:p>
  </w:footnote>
  <w:footnote w:type="continuationSeparator" w:id="0">
    <w:p w:rsidR="000C4B18" w:rsidRDefault="000C4B18"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2F"/>
    <w:multiLevelType w:val="hybridMultilevel"/>
    <w:tmpl w:val="69E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4005"/>
    <w:multiLevelType w:val="hybridMultilevel"/>
    <w:tmpl w:val="7EE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5EC46A2"/>
    <w:multiLevelType w:val="hybridMultilevel"/>
    <w:tmpl w:val="08D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0A0E"/>
    <w:multiLevelType w:val="hybridMultilevel"/>
    <w:tmpl w:val="D4B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2CF"/>
    <w:multiLevelType w:val="hybridMultilevel"/>
    <w:tmpl w:val="669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B092F"/>
    <w:multiLevelType w:val="hybridMultilevel"/>
    <w:tmpl w:val="EB5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2A54829"/>
    <w:multiLevelType w:val="hybridMultilevel"/>
    <w:tmpl w:val="2F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ED624CE"/>
    <w:multiLevelType w:val="hybridMultilevel"/>
    <w:tmpl w:val="3A9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
  </w:num>
  <w:num w:numId="10">
    <w:abstractNumId w:val="8"/>
  </w:num>
  <w:num w:numId="11">
    <w:abstractNumId w:val="1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8"/>
  </w:num>
  <w:num w:numId="16">
    <w:abstractNumId w:val="4"/>
  </w:num>
  <w:num w:numId="17">
    <w:abstractNumId w:val="18"/>
  </w:num>
  <w:num w:numId="18">
    <w:abstractNumId w:val="13"/>
  </w:num>
  <w:num w:numId="19">
    <w:abstractNumId w:val="3"/>
  </w:num>
  <w:num w:numId="20">
    <w:abstractNumId w:val="7"/>
  </w:num>
  <w:num w:numId="21">
    <w:abstractNumId w:val="5"/>
  </w:num>
  <w:num w:numId="22">
    <w:abstractNumId w:val="6"/>
  </w:num>
  <w:num w:numId="23">
    <w:abstractNumId w:val="1"/>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527A"/>
    <w:rsid w:val="0004684B"/>
    <w:rsid w:val="00051F06"/>
    <w:rsid w:val="00056077"/>
    <w:rsid w:val="00057290"/>
    <w:rsid w:val="00057854"/>
    <w:rsid w:val="000622A9"/>
    <w:rsid w:val="00062EDE"/>
    <w:rsid w:val="00064FCA"/>
    <w:rsid w:val="0006712A"/>
    <w:rsid w:val="00067912"/>
    <w:rsid w:val="00072486"/>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7A3"/>
    <w:rsid w:val="000C4371"/>
    <w:rsid w:val="000C4B18"/>
    <w:rsid w:val="000D234E"/>
    <w:rsid w:val="000D2F33"/>
    <w:rsid w:val="000D37EE"/>
    <w:rsid w:val="000D45E3"/>
    <w:rsid w:val="000E1DE0"/>
    <w:rsid w:val="000E369C"/>
    <w:rsid w:val="000E493F"/>
    <w:rsid w:val="000E7F3F"/>
    <w:rsid w:val="000F3D5B"/>
    <w:rsid w:val="000F734C"/>
    <w:rsid w:val="000F7FF3"/>
    <w:rsid w:val="00101E29"/>
    <w:rsid w:val="00103476"/>
    <w:rsid w:val="00107A2C"/>
    <w:rsid w:val="00107CC3"/>
    <w:rsid w:val="001132FE"/>
    <w:rsid w:val="001243BE"/>
    <w:rsid w:val="00130214"/>
    <w:rsid w:val="0013023D"/>
    <w:rsid w:val="001308F1"/>
    <w:rsid w:val="00130959"/>
    <w:rsid w:val="00131E64"/>
    <w:rsid w:val="00133258"/>
    <w:rsid w:val="00137558"/>
    <w:rsid w:val="00141376"/>
    <w:rsid w:val="00141F78"/>
    <w:rsid w:val="00143FE3"/>
    <w:rsid w:val="001441DD"/>
    <w:rsid w:val="0014498B"/>
    <w:rsid w:val="0014536E"/>
    <w:rsid w:val="001603D2"/>
    <w:rsid w:val="0017327C"/>
    <w:rsid w:val="001771AF"/>
    <w:rsid w:val="001803DA"/>
    <w:rsid w:val="00191D69"/>
    <w:rsid w:val="00193FDD"/>
    <w:rsid w:val="0019433E"/>
    <w:rsid w:val="0019474C"/>
    <w:rsid w:val="0019507C"/>
    <w:rsid w:val="001A0674"/>
    <w:rsid w:val="001A2C58"/>
    <w:rsid w:val="001A3724"/>
    <w:rsid w:val="001A4AF5"/>
    <w:rsid w:val="001A4C50"/>
    <w:rsid w:val="001A568D"/>
    <w:rsid w:val="001A5A0E"/>
    <w:rsid w:val="001B048A"/>
    <w:rsid w:val="001B2B07"/>
    <w:rsid w:val="001B3E8B"/>
    <w:rsid w:val="001B4D36"/>
    <w:rsid w:val="001C03B8"/>
    <w:rsid w:val="001C69D3"/>
    <w:rsid w:val="001C7D4A"/>
    <w:rsid w:val="001D4D97"/>
    <w:rsid w:val="001D6202"/>
    <w:rsid w:val="001E3EEB"/>
    <w:rsid w:val="001E465E"/>
    <w:rsid w:val="001E46FA"/>
    <w:rsid w:val="001E594D"/>
    <w:rsid w:val="001F1B14"/>
    <w:rsid w:val="001F6438"/>
    <w:rsid w:val="001F795B"/>
    <w:rsid w:val="002014CF"/>
    <w:rsid w:val="00204946"/>
    <w:rsid w:val="0020541C"/>
    <w:rsid w:val="002066AA"/>
    <w:rsid w:val="0021140F"/>
    <w:rsid w:val="00221C6E"/>
    <w:rsid w:val="0022776A"/>
    <w:rsid w:val="00230CB3"/>
    <w:rsid w:val="00231CD1"/>
    <w:rsid w:val="002330E5"/>
    <w:rsid w:val="002355C8"/>
    <w:rsid w:val="00237DF4"/>
    <w:rsid w:val="00240BAE"/>
    <w:rsid w:val="002414D0"/>
    <w:rsid w:val="00241E76"/>
    <w:rsid w:val="00245E62"/>
    <w:rsid w:val="00257ED6"/>
    <w:rsid w:val="002604C4"/>
    <w:rsid w:val="0026470E"/>
    <w:rsid w:val="002673DC"/>
    <w:rsid w:val="002753E9"/>
    <w:rsid w:val="00276AC4"/>
    <w:rsid w:val="00283AA4"/>
    <w:rsid w:val="00283CC3"/>
    <w:rsid w:val="0028643C"/>
    <w:rsid w:val="0028722B"/>
    <w:rsid w:val="00291C4C"/>
    <w:rsid w:val="002B1DA1"/>
    <w:rsid w:val="002B21C4"/>
    <w:rsid w:val="002B2735"/>
    <w:rsid w:val="002B2E73"/>
    <w:rsid w:val="002B4A9D"/>
    <w:rsid w:val="002B704F"/>
    <w:rsid w:val="002C0878"/>
    <w:rsid w:val="002C1B7B"/>
    <w:rsid w:val="002C37F8"/>
    <w:rsid w:val="002C4B2F"/>
    <w:rsid w:val="002C749A"/>
    <w:rsid w:val="002D340B"/>
    <w:rsid w:val="002D3534"/>
    <w:rsid w:val="002D506E"/>
    <w:rsid w:val="002E02E8"/>
    <w:rsid w:val="002E2BBE"/>
    <w:rsid w:val="002E3332"/>
    <w:rsid w:val="002F0CF7"/>
    <w:rsid w:val="002F29D7"/>
    <w:rsid w:val="002F3F38"/>
    <w:rsid w:val="00302916"/>
    <w:rsid w:val="00302943"/>
    <w:rsid w:val="00303B74"/>
    <w:rsid w:val="003041E7"/>
    <w:rsid w:val="00305A17"/>
    <w:rsid w:val="00306B3A"/>
    <w:rsid w:val="00310F51"/>
    <w:rsid w:val="003116CE"/>
    <w:rsid w:val="00313116"/>
    <w:rsid w:val="00323942"/>
    <w:rsid w:val="003306CC"/>
    <w:rsid w:val="00337B37"/>
    <w:rsid w:val="00344664"/>
    <w:rsid w:val="003512C4"/>
    <w:rsid w:val="00357387"/>
    <w:rsid w:val="00372D91"/>
    <w:rsid w:val="00377A91"/>
    <w:rsid w:val="0038218B"/>
    <w:rsid w:val="003874E4"/>
    <w:rsid w:val="003919CC"/>
    <w:rsid w:val="00394222"/>
    <w:rsid w:val="003979B6"/>
    <w:rsid w:val="003A5AB9"/>
    <w:rsid w:val="003A6D41"/>
    <w:rsid w:val="003A70C2"/>
    <w:rsid w:val="003B458F"/>
    <w:rsid w:val="003C11E2"/>
    <w:rsid w:val="003D132D"/>
    <w:rsid w:val="003D2116"/>
    <w:rsid w:val="003E0A00"/>
    <w:rsid w:val="003E1011"/>
    <w:rsid w:val="003E5309"/>
    <w:rsid w:val="003E5B96"/>
    <w:rsid w:val="003E6EFD"/>
    <w:rsid w:val="003E7D4E"/>
    <w:rsid w:val="003F1350"/>
    <w:rsid w:val="003F2437"/>
    <w:rsid w:val="003F29B0"/>
    <w:rsid w:val="004013E3"/>
    <w:rsid w:val="004020F8"/>
    <w:rsid w:val="004039FD"/>
    <w:rsid w:val="00404B32"/>
    <w:rsid w:val="00406FAA"/>
    <w:rsid w:val="00407053"/>
    <w:rsid w:val="004165BE"/>
    <w:rsid w:val="004228F3"/>
    <w:rsid w:val="0042442D"/>
    <w:rsid w:val="00425FC7"/>
    <w:rsid w:val="0042798D"/>
    <w:rsid w:val="0043382A"/>
    <w:rsid w:val="0043490A"/>
    <w:rsid w:val="0044046E"/>
    <w:rsid w:val="004411A6"/>
    <w:rsid w:val="004467D9"/>
    <w:rsid w:val="004475DB"/>
    <w:rsid w:val="004574F4"/>
    <w:rsid w:val="00462C04"/>
    <w:rsid w:val="004631E2"/>
    <w:rsid w:val="00463432"/>
    <w:rsid w:val="00466634"/>
    <w:rsid w:val="004706CB"/>
    <w:rsid w:val="00473973"/>
    <w:rsid w:val="00480043"/>
    <w:rsid w:val="004867B5"/>
    <w:rsid w:val="00487138"/>
    <w:rsid w:val="00490855"/>
    <w:rsid w:val="0049736B"/>
    <w:rsid w:val="004A1F85"/>
    <w:rsid w:val="004A7AC9"/>
    <w:rsid w:val="004B2A62"/>
    <w:rsid w:val="004B2F87"/>
    <w:rsid w:val="004B3C71"/>
    <w:rsid w:val="004B4C19"/>
    <w:rsid w:val="004C073F"/>
    <w:rsid w:val="004D113D"/>
    <w:rsid w:val="004D575E"/>
    <w:rsid w:val="004D6104"/>
    <w:rsid w:val="004E6602"/>
    <w:rsid w:val="004F001D"/>
    <w:rsid w:val="004F1723"/>
    <w:rsid w:val="004F754D"/>
    <w:rsid w:val="00505CFD"/>
    <w:rsid w:val="00511B9E"/>
    <w:rsid w:val="00512CAF"/>
    <w:rsid w:val="005163F2"/>
    <w:rsid w:val="00517F4B"/>
    <w:rsid w:val="00521BC5"/>
    <w:rsid w:val="00522CEF"/>
    <w:rsid w:val="005308BF"/>
    <w:rsid w:val="00536917"/>
    <w:rsid w:val="00541D55"/>
    <w:rsid w:val="0056007E"/>
    <w:rsid w:val="00562B10"/>
    <w:rsid w:val="00565A9A"/>
    <w:rsid w:val="00570788"/>
    <w:rsid w:val="0058082E"/>
    <w:rsid w:val="00583248"/>
    <w:rsid w:val="0059219A"/>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1AF5"/>
    <w:rsid w:val="00602063"/>
    <w:rsid w:val="00603AAA"/>
    <w:rsid w:val="00613F9D"/>
    <w:rsid w:val="00634794"/>
    <w:rsid w:val="00634E4A"/>
    <w:rsid w:val="006471B1"/>
    <w:rsid w:val="00647F5D"/>
    <w:rsid w:val="00653BC8"/>
    <w:rsid w:val="00654D01"/>
    <w:rsid w:val="00661CA6"/>
    <w:rsid w:val="00664959"/>
    <w:rsid w:val="006746BB"/>
    <w:rsid w:val="00675E96"/>
    <w:rsid w:val="00676360"/>
    <w:rsid w:val="00681F05"/>
    <w:rsid w:val="0068472C"/>
    <w:rsid w:val="00685018"/>
    <w:rsid w:val="006850D6"/>
    <w:rsid w:val="0069756F"/>
    <w:rsid w:val="00697F19"/>
    <w:rsid w:val="006A0965"/>
    <w:rsid w:val="006A0BB6"/>
    <w:rsid w:val="006A1A00"/>
    <w:rsid w:val="006A50BE"/>
    <w:rsid w:val="006A5E4F"/>
    <w:rsid w:val="006B5182"/>
    <w:rsid w:val="006B7CF3"/>
    <w:rsid w:val="006C3739"/>
    <w:rsid w:val="006C643C"/>
    <w:rsid w:val="006C72C6"/>
    <w:rsid w:val="006F36F0"/>
    <w:rsid w:val="006F5036"/>
    <w:rsid w:val="006F6FF0"/>
    <w:rsid w:val="007015B6"/>
    <w:rsid w:val="00706BC3"/>
    <w:rsid w:val="00710FB0"/>
    <w:rsid w:val="00713293"/>
    <w:rsid w:val="0071609E"/>
    <w:rsid w:val="007162CD"/>
    <w:rsid w:val="0072296F"/>
    <w:rsid w:val="00725DF6"/>
    <w:rsid w:val="00732952"/>
    <w:rsid w:val="007332C4"/>
    <w:rsid w:val="00740AEF"/>
    <w:rsid w:val="00745269"/>
    <w:rsid w:val="00746F9A"/>
    <w:rsid w:val="00750562"/>
    <w:rsid w:val="00753BC1"/>
    <w:rsid w:val="00754C09"/>
    <w:rsid w:val="00755285"/>
    <w:rsid w:val="00760269"/>
    <w:rsid w:val="007607A4"/>
    <w:rsid w:val="007607D0"/>
    <w:rsid w:val="00764D7B"/>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0DC"/>
    <w:rsid w:val="007F3244"/>
    <w:rsid w:val="007F52F7"/>
    <w:rsid w:val="007F605C"/>
    <w:rsid w:val="007F7CF8"/>
    <w:rsid w:val="00805393"/>
    <w:rsid w:val="00806509"/>
    <w:rsid w:val="008119C6"/>
    <w:rsid w:val="008148F0"/>
    <w:rsid w:val="008149B5"/>
    <w:rsid w:val="008150C0"/>
    <w:rsid w:val="008157C6"/>
    <w:rsid w:val="00817AAE"/>
    <w:rsid w:val="00823AC7"/>
    <w:rsid w:val="00824CE6"/>
    <w:rsid w:val="008277F5"/>
    <w:rsid w:val="00831F52"/>
    <w:rsid w:val="00832CBD"/>
    <w:rsid w:val="00842F21"/>
    <w:rsid w:val="00843DA5"/>
    <w:rsid w:val="008464C3"/>
    <w:rsid w:val="00847453"/>
    <w:rsid w:val="0085180B"/>
    <w:rsid w:val="00853592"/>
    <w:rsid w:val="00853E2F"/>
    <w:rsid w:val="00860187"/>
    <w:rsid w:val="00860362"/>
    <w:rsid w:val="00871F57"/>
    <w:rsid w:val="008751B3"/>
    <w:rsid w:val="0088205F"/>
    <w:rsid w:val="0088259D"/>
    <w:rsid w:val="00882B3B"/>
    <w:rsid w:val="00882CF9"/>
    <w:rsid w:val="008850A7"/>
    <w:rsid w:val="00886439"/>
    <w:rsid w:val="008970F5"/>
    <w:rsid w:val="008A0795"/>
    <w:rsid w:val="008A15B8"/>
    <w:rsid w:val="008A190B"/>
    <w:rsid w:val="008A3F4B"/>
    <w:rsid w:val="008A61BD"/>
    <w:rsid w:val="008A6CC9"/>
    <w:rsid w:val="008C7603"/>
    <w:rsid w:val="008D3A49"/>
    <w:rsid w:val="008D3CE6"/>
    <w:rsid w:val="008D71DA"/>
    <w:rsid w:val="008D79D5"/>
    <w:rsid w:val="008E2A7F"/>
    <w:rsid w:val="008E3676"/>
    <w:rsid w:val="008E3741"/>
    <w:rsid w:val="008F02D1"/>
    <w:rsid w:val="0090051C"/>
    <w:rsid w:val="00902D28"/>
    <w:rsid w:val="0092015A"/>
    <w:rsid w:val="00922453"/>
    <w:rsid w:val="00936D46"/>
    <w:rsid w:val="00943CEA"/>
    <w:rsid w:val="009509E3"/>
    <w:rsid w:val="009519DD"/>
    <w:rsid w:val="009607DE"/>
    <w:rsid w:val="00962BC1"/>
    <w:rsid w:val="00973A1A"/>
    <w:rsid w:val="0097422D"/>
    <w:rsid w:val="0097602B"/>
    <w:rsid w:val="00977F68"/>
    <w:rsid w:val="0098740B"/>
    <w:rsid w:val="00990FD8"/>
    <w:rsid w:val="00994201"/>
    <w:rsid w:val="009A028C"/>
    <w:rsid w:val="009B09D1"/>
    <w:rsid w:val="009B680D"/>
    <w:rsid w:val="009C1BB0"/>
    <w:rsid w:val="009C20BF"/>
    <w:rsid w:val="009C4C64"/>
    <w:rsid w:val="009D1038"/>
    <w:rsid w:val="009D241B"/>
    <w:rsid w:val="009D56CC"/>
    <w:rsid w:val="009E42E0"/>
    <w:rsid w:val="009F0CE4"/>
    <w:rsid w:val="009F2B58"/>
    <w:rsid w:val="009F67B2"/>
    <w:rsid w:val="009F6E98"/>
    <w:rsid w:val="00A01D85"/>
    <w:rsid w:val="00A0436F"/>
    <w:rsid w:val="00A104DB"/>
    <w:rsid w:val="00A16142"/>
    <w:rsid w:val="00A232EF"/>
    <w:rsid w:val="00A26BAB"/>
    <w:rsid w:val="00A34510"/>
    <w:rsid w:val="00A3534A"/>
    <w:rsid w:val="00A3539E"/>
    <w:rsid w:val="00A377D6"/>
    <w:rsid w:val="00A410AC"/>
    <w:rsid w:val="00A430CF"/>
    <w:rsid w:val="00A43535"/>
    <w:rsid w:val="00A43562"/>
    <w:rsid w:val="00A44F29"/>
    <w:rsid w:val="00A50932"/>
    <w:rsid w:val="00A51371"/>
    <w:rsid w:val="00A63C6B"/>
    <w:rsid w:val="00A64B8B"/>
    <w:rsid w:val="00A8354F"/>
    <w:rsid w:val="00A84D43"/>
    <w:rsid w:val="00A8786A"/>
    <w:rsid w:val="00A91F8B"/>
    <w:rsid w:val="00A94771"/>
    <w:rsid w:val="00A969E6"/>
    <w:rsid w:val="00AB134B"/>
    <w:rsid w:val="00AB13BA"/>
    <w:rsid w:val="00AB4A3A"/>
    <w:rsid w:val="00AB5E34"/>
    <w:rsid w:val="00AC0C85"/>
    <w:rsid w:val="00AC6FB3"/>
    <w:rsid w:val="00AD35A0"/>
    <w:rsid w:val="00AD5E64"/>
    <w:rsid w:val="00AE4A07"/>
    <w:rsid w:val="00AF1337"/>
    <w:rsid w:val="00AF13F4"/>
    <w:rsid w:val="00AF36D5"/>
    <w:rsid w:val="00AF3ACC"/>
    <w:rsid w:val="00AF3DC3"/>
    <w:rsid w:val="00B03DF1"/>
    <w:rsid w:val="00B100FC"/>
    <w:rsid w:val="00B13116"/>
    <w:rsid w:val="00B1614F"/>
    <w:rsid w:val="00B223A1"/>
    <w:rsid w:val="00B24829"/>
    <w:rsid w:val="00B27AAC"/>
    <w:rsid w:val="00B30F19"/>
    <w:rsid w:val="00B3268D"/>
    <w:rsid w:val="00B3755F"/>
    <w:rsid w:val="00B379C9"/>
    <w:rsid w:val="00B43D6D"/>
    <w:rsid w:val="00B4461C"/>
    <w:rsid w:val="00B50CE7"/>
    <w:rsid w:val="00B546BD"/>
    <w:rsid w:val="00B6132E"/>
    <w:rsid w:val="00B64169"/>
    <w:rsid w:val="00B71A8C"/>
    <w:rsid w:val="00B7232D"/>
    <w:rsid w:val="00B77A32"/>
    <w:rsid w:val="00B77F20"/>
    <w:rsid w:val="00B822EA"/>
    <w:rsid w:val="00B83DD0"/>
    <w:rsid w:val="00B85940"/>
    <w:rsid w:val="00B86C4E"/>
    <w:rsid w:val="00B86DB3"/>
    <w:rsid w:val="00B87619"/>
    <w:rsid w:val="00B87E15"/>
    <w:rsid w:val="00B87EDF"/>
    <w:rsid w:val="00B96E3C"/>
    <w:rsid w:val="00BA3694"/>
    <w:rsid w:val="00BB0BA7"/>
    <w:rsid w:val="00BB2F02"/>
    <w:rsid w:val="00BB3851"/>
    <w:rsid w:val="00BB5A90"/>
    <w:rsid w:val="00BC1957"/>
    <w:rsid w:val="00BC1C7E"/>
    <w:rsid w:val="00BD1033"/>
    <w:rsid w:val="00BE2A87"/>
    <w:rsid w:val="00BE2C30"/>
    <w:rsid w:val="00BE3497"/>
    <w:rsid w:val="00BE7691"/>
    <w:rsid w:val="00BF17A9"/>
    <w:rsid w:val="00BF4AD9"/>
    <w:rsid w:val="00BF5FFB"/>
    <w:rsid w:val="00BF6C2E"/>
    <w:rsid w:val="00C11593"/>
    <w:rsid w:val="00C13011"/>
    <w:rsid w:val="00C15603"/>
    <w:rsid w:val="00C2093D"/>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163D"/>
    <w:rsid w:val="00C752A8"/>
    <w:rsid w:val="00C8054A"/>
    <w:rsid w:val="00C80C16"/>
    <w:rsid w:val="00C81F43"/>
    <w:rsid w:val="00C84C80"/>
    <w:rsid w:val="00C905D9"/>
    <w:rsid w:val="00CB2ACD"/>
    <w:rsid w:val="00CC4146"/>
    <w:rsid w:val="00CC5121"/>
    <w:rsid w:val="00CC5C36"/>
    <w:rsid w:val="00CC6247"/>
    <w:rsid w:val="00CD1089"/>
    <w:rsid w:val="00CD289B"/>
    <w:rsid w:val="00CD3364"/>
    <w:rsid w:val="00CD5464"/>
    <w:rsid w:val="00CD6DE6"/>
    <w:rsid w:val="00CE2917"/>
    <w:rsid w:val="00CE516A"/>
    <w:rsid w:val="00CE6BAA"/>
    <w:rsid w:val="00CE7B83"/>
    <w:rsid w:val="00CF697E"/>
    <w:rsid w:val="00CF6A42"/>
    <w:rsid w:val="00D00FB0"/>
    <w:rsid w:val="00D030B5"/>
    <w:rsid w:val="00D07E0B"/>
    <w:rsid w:val="00D216D0"/>
    <w:rsid w:val="00D23002"/>
    <w:rsid w:val="00D27A37"/>
    <w:rsid w:val="00D31C83"/>
    <w:rsid w:val="00D3525D"/>
    <w:rsid w:val="00D373AB"/>
    <w:rsid w:val="00D37F3A"/>
    <w:rsid w:val="00D40655"/>
    <w:rsid w:val="00D41D76"/>
    <w:rsid w:val="00D42C19"/>
    <w:rsid w:val="00D43CFC"/>
    <w:rsid w:val="00D47C06"/>
    <w:rsid w:val="00D5111F"/>
    <w:rsid w:val="00D54FC3"/>
    <w:rsid w:val="00D55FFC"/>
    <w:rsid w:val="00D61CC9"/>
    <w:rsid w:val="00D62096"/>
    <w:rsid w:val="00D67B43"/>
    <w:rsid w:val="00D72249"/>
    <w:rsid w:val="00D72BD0"/>
    <w:rsid w:val="00D7561E"/>
    <w:rsid w:val="00D767F3"/>
    <w:rsid w:val="00D76C7E"/>
    <w:rsid w:val="00D774AE"/>
    <w:rsid w:val="00D85220"/>
    <w:rsid w:val="00D905AD"/>
    <w:rsid w:val="00D94C9A"/>
    <w:rsid w:val="00DA0738"/>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365C6"/>
    <w:rsid w:val="00E41DCE"/>
    <w:rsid w:val="00E43CD6"/>
    <w:rsid w:val="00E46031"/>
    <w:rsid w:val="00E80B63"/>
    <w:rsid w:val="00E81F6A"/>
    <w:rsid w:val="00E83F02"/>
    <w:rsid w:val="00E86878"/>
    <w:rsid w:val="00E87BB4"/>
    <w:rsid w:val="00E900B3"/>
    <w:rsid w:val="00E952C9"/>
    <w:rsid w:val="00EA498A"/>
    <w:rsid w:val="00EA6430"/>
    <w:rsid w:val="00EA672C"/>
    <w:rsid w:val="00EA6D92"/>
    <w:rsid w:val="00EB3E3F"/>
    <w:rsid w:val="00EB54E1"/>
    <w:rsid w:val="00EC656B"/>
    <w:rsid w:val="00EC7DC7"/>
    <w:rsid w:val="00ED700E"/>
    <w:rsid w:val="00EE2A26"/>
    <w:rsid w:val="00EE30E9"/>
    <w:rsid w:val="00EF2F1A"/>
    <w:rsid w:val="00EF2F99"/>
    <w:rsid w:val="00EF4A92"/>
    <w:rsid w:val="00EF7EBC"/>
    <w:rsid w:val="00F00A7B"/>
    <w:rsid w:val="00F02C93"/>
    <w:rsid w:val="00F036F6"/>
    <w:rsid w:val="00F111F9"/>
    <w:rsid w:val="00F119CF"/>
    <w:rsid w:val="00F14B9A"/>
    <w:rsid w:val="00F2041D"/>
    <w:rsid w:val="00F22995"/>
    <w:rsid w:val="00F24521"/>
    <w:rsid w:val="00F258C2"/>
    <w:rsid w:val="00F27BB9"/>
    <w:rsid w:val="00F34A93"/>
    <w:rsid w:val="00F36523"/>
    <w:rsid w:val="00F402AA"/>
    <w:rsid w:val="00F40650"/>
    <w:rsid w:val="00F41AE6"/>
    <w:rsid w:val="00F4385B"/>
    <w:rsid w:val="00F53410"/>
    <w:rsid w:val="00F5643C"/>
    <w:rsid w:val="00F63007"/>
    <w:rsid w:val="00F63C49"/>
    <w:rsid w:val="00F64808"/>
    <w:rsid w:val="00F65E7C"/>
    <w:rsid w:val="00F71950"/>
    <w:rsid w:val="00F71D83"/>
    <w:rsid w:val="00F74F50"/>
    <w:rsid w:val="00F751EB"/>
    <w:rsid w:val="00F777F1"/>
    <w:rsid w:val="00F8486D"/>
    <w:rsid w:val="00F87DCD"/>
    <w:rsid w:val="00F91325"/>
    <w:rsid w:val="00F94DBC"/>
    <w:rsid w:val="00F96279"/>
    <w:rsid w:val="00FA2FF2"/>
    <w:rsid w:val="00FA3434"/>
    <w:rsid w:val="00FA3B8C"/>
    <w:rsid w:val="00FA3B98"/>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11B"/>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 w:type="paragraph" w:styleId="Title">
    <w:name w:val="Title"/>
    <w:basedOn w:val="Normal"/>
    <w:next w:val="Normal"/>
    <w:link w:val="TitleChar"/>
    <w:uiPriority w:val="10"/>
    <w:qFormat/>
    <w:rsid w:val="00B822EA"/>
    <w:pPr>
      <w:spacing w:after="0"/>
      <w:jc w:val="center"/>
    </w:pPr>
    <w:rPr>
      <w:rFonts w:ascii="Arial" w:hAnsi="Arial"/>
      <w:b/>
      <w:sz w:val="24"/>
    </w:rPr>
  </w:style>
  <w:style w:type="character" w:customStyle="1" w:styleId="TitleChar">
    <w:name w:val="Title Char"/>
    <w:basedOn w:val="DefaultParagraphFont"/>
    <w:link w:val="Title"/>
    <w:uiPriority w:val="10"/>
    <w:rsid w:val="00B822E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34401766">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0282443">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86737600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25663276">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4374043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13489933">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ucdenver.edu/research/Research%20Administration%20Documents/Fiscal%20Policy%204-21%20Time%20Effort%20Reporting%20on%20Sponsored%20Projec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ane.Jernigan@ucdenver.edu" TargetMode="External"/><Relationship Id="rId7" Type="http://schemas.openxmlformats.org/officeDocument/2006/relationships/endnotes" Target="endnotes.xml"/><Relationship Id="rId12" Type="http://schemas.openxmlformats.org/officeDocument/2006/relationships/hyperlink" Target="mailto:erasupport@ucdenver.edu" TargetMode="External"/><Relationship Id="rId17" Type="http://schemas.openxmlformats.org/officeDocument/2006/relationships/hyperlink" Target="http://www.ucdenver.edu/research/OGC/Pages/policiesprocedur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denver.edu/research/Research%20Administration%20Documents/SubrecipientMonitoringRecord_2015Oct.docx" TargetMode="External"/><Relationship Id="rId20" Type="http://schemas.openxmlformats.org/officeDocument/2006/relationships/hyperlink" Target="mailto:Thomas.Keithiii@ucdenver.ed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u.taleo.net/careersection/2/moresearch.ftl?lang=en&amp;radiusType=K&amp;location=6200103016&amp;searchExpanded=true&amp;radius=1&amp;portal=101430233" TargetMode="External"/><Relationship Id="rId5" Type="http://schemas.openxmlformats.org/officeDocument/2006/relationships/webSettings" Target="webSettings.xml"/><Relationship Id="rId15" Type="http://schemas.openxmlformats.org/officeDocument/2006/relationships/hyperlink" Target="http://www.ucdenver.edu/research/OGC/Pages/AtoZ.aspx" TargetMode="External"/><Relationship Id="rId23" Type="http://schemas.openxmlformats.org/officeDocument/2006/relationships/hyperlink" Target="mailto:stephanie.thompson@ucdenver.edu" TargetMode="Externa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s://www.cu.edu/doc/ssqrenrollil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denver.edu/research/Research%20Administration%20Documents/Fiscal%20Policy%204-07%20Direct%20Charges%20to%20Fed%20Proj.pdf" TargetMode="External"/><Relationship Id="rId22" Type="http://schemas.openxmlformats.org/officeDocument/2006/relationships/hyperlink" Target="http://www.ucdenver.edu/research/OGC/Pages/AtoZ.aspx"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50AB6B-A23E-4279-97B7-988804554585}"/>
</file>

<file path=customXml/itemProps2.xml><?xml version="1.0" encoding="utf-8"?>
<ds:datastoreItem xmlns:ds="http://schemas.openxmlformats.org/officeDocument/2006/customXml" ds:itemID="{7387C929-C154-4573-BF04-D5D3A1F0308D}"/>
</file>

<file path=customXml/itemProps3.xml><?xml version="1.0" encoding="utf-8"?>
<ds:datastoreItem xmlns:ds="http://schemas.openxmlformats.org/officeDocument/2006/customXml" ds:itemID="{20217EAF-79AF-4F95-AF02-ACF031647034}"/>
</file>

<file path=customXml/itemProps4.xml><?xml version="1.0" encoding="utf-8"?>
<ds:datastoreItem xmlns:ds="http://schemas.openxmlformats.org/officeDocument/2006/customXml" ds:itemID="{AE3471CE-2037-4AB3-BDC7-5B9EF6F39685}"/>
</file>

<file path=docProps/app.xml><?xml version="1.0" encoding="utf-8"?>
<Properties xmlns="http://schemas.openxmlformats.org/officeDocument/2006/extended-properties" xmlns:vt="http://schemas.openxmlformats.org/officeDocument/2006/docPropsVTypes">
  <Template>Normal</Template>
  <TotalTime>374</TotalTime>
  <Pages>4</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 March 2019</dc:title>
  <dc:creator>Esau, Sara J</dc:creator>
  <cp:lastModifiedBy>Esau, Sara J</cp:lastModifiedBy>
  <cp:revision>35</cp:revision>
  <cp:lastPrinted>2018-08-24T20:53:00Z</cp:lastPrinted>
  <dcterms:created xsi:type="dcterms:W3CDTF">2019-02-18T21:07:00Z</dcterms:created>
  <dcterms:modified xsi:type="dcterms:W3CDTF">2019-03-25T22:46:00Z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