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5C44" w14:textId="7AB8DC34" w:rsidR="00CA400E" w:rsidRDefault="00CA400E" w:rsidP="00CA400E">
      <w:pPr>
        <w:rPr>
          <w:b/>
          <w:bCs/>
        </w:rPr>
      </w:pPr>
      <w:r>
        <w:rPr>
          <w:b/>
          <w:bCs/>
        </w:rPr>
        <w:t>September 29, 2023</w:t>
      </w:r>
    </w:p>
    <w:p w14:paraId="39DCFA55" w14:textId="493B3B57" w:rsidR="00CA400E" w:rsidRDefault="00CA400E" w:rsidP="00CA400E">
      <w:pPr>
        <w:jc w:val="center"/>
        <w:rPr>
          <w:b/>
          <w:bCs/>
        </w:rPr>
      </w:pPr>
      <w:r>
        <w:rPr>
          <w:b/>
          <w:bCs/>
        </w:rPr>
        <w:t>Government Guidance for a Shutdown</w:t>
      </w:r>
    </w:p>
    <w:p w14:paraId="19FDA1F4" w14:textId="6560AF8A" w:rsidR="00CA400E" w:rsidRPr="00CA400E" w:rsidRDefault="00CA400E" w:rsidP="00CA400E">
      <w:r>
        <w:t>The information below has been gathered from federal agency contingency plans posted on the Office of Management and Budget website. This document will be updated as additional information is made public by federal agencies.</w:t>
      </w:r>
    </w:p>
    <w:p w14:paraId="5748FDD8" w14:textId="77777777" w:rsidR="00CA400E" w:rsidRDefault="00CA400E">
      <w:pPr>
        <w:rPr>
          <w:b/>
          <w:bCs/>
          <w:u w:val="single"/>
        </w:rPr>
      </w:pPr>
    </w:p>
    <w:p w14:paraId="168CEB8A" w14:textId="6D7C5EAD" w:rsidR="00DE547B" w:rsidRPr="00503043" w:rsidRDefault="00FA2CB1">
      <w:pPr>
        <w:rPr>
          <w:b/>
          <w:bCs/>
          <w:u w:val="single"/>
        </w:rPr>
      </w:pPr>
      <w:r w:rsidRPr="00503043">
        <w:rPr>
          <w:b/>
          <w:bCs/>
          <w:u w:val="single"/>
        </w:rPr>
        <w:t>General Government Guidance for a Shutdown</w:t>
      </w:r>
    </w:p>
    <w:p w14:paraId="46596873" w14:textId="6387BCBE" w:rsidR="00FA2CB1" w:rsidRDefault="00FA2CB1" w:rsidP="00FA2CB1">
      <w:pPr>
        <w:pStyle w:val="ListParagraph"/>
        <w:numPr>
          <w:ilvl w:val="0"/>
          <w:numId w:val="1"/>
        </w:numPr>
      </w:pPr>
      <w:r>
        <w:t xml:space="preserve">Agencies will not be making new awards </w:t>
      </w:r>
    </w:p>
    <w:p w14:paraId="784F009A" w14:textId="13C0D9EC" w:rsidR="00FA2CB1" w:rsidRDefault="00FA2CB1" w:rsidP="00FA2CB1">
      <w:pPr>
        <w:pStyle w:val="ListParagraph"/>
        <w:numPr>
          <w:ilvl w:val="0"/>
          <w:numId w:val="1"/>
        </w:numPr>
      </w:pPr>
      <w:r>
        <w:t>Agencies cannot provide new funding for non-competing segments</w:t>
      </w:r>
    </w:p>
    <w:p w14:paraId="6848D06F" w14:textId="167085CA" w:rsidR="00FA2CB1" w:rsidRDefault="00FA2CB1" w:rsidP="00FA2CB1">
      <w:pPr>
        <w:pStyle w:val="ListParagraph"/>
        <w:numPr>
          <w:ilvl w:val="0"/>
          <w:numId w:val="1"/>
        </w:numPr>
      </w:pPr>
      <w:r>
        <w:t>Agencies will accept new proposals, but will not be able to review them</w:t>
      </w:r>
    </w:p>
    <w:p w14:paraId="44CA5E1D" w14:textId="04B4CF4C" w:rsidR="00FA2CB1" w:rsidRDefault="00FA2CB1" w:rsidP="00FA2CB1">
      <w:pPr>
        <w:pStyle w:val="ListParagraph"/>
        <w:numPr>
          <w:ilvl w:val="0"/>
          <w:numId w:val="1"/>
        </w:numPr>
      </w:pPr>
      <w:r>
        <w:t>Agencies will not be issuing new funding opportunity announcements (Existing Parent Announcements will continue to govern)</w:t>
      </w:r>
    </w:p>
    <w:p w14:paraId="256E8664" w14:textId="030A6972" w:rsidR="00FA2CB1" w:rsidRDefault="00FA2CB1" w:rsidP="00FA2CB1">
      <w:pPr>
        <w:pStyle w:val="ListParagraph"/>
        <w:numPr>
          <w:ilvl w:val="0"/>
          <w:numId w:val="1"/>
        </w:numPr>
      </w:pPr>
      <w:r>
        <w:t xml:space="preserve">Most federal employees will be on furlough and will not be able to </w:t>
      </w:r>
      <w:proofErr w:type="gramStart"/>
      <w:r>
        <w:t>provide assistance</w:t>
      </w:r>
      <w:proofErr w:type="gramEnd"/>
      <w:r>
        <w:t xml:space="preserve"> or prior approval for existing awards</w:t>
      </w:r>
    </w:p>
    <w:p w14:paraId="4A5975E4" w14:textId="7279AEE7" w:rsidR="00FA2CB1" w:rsidRDefault="00FA2CB1" w:rsidP="00FA2CB1">
      <w:pPr>
        <w:pStyle w:val="ListParagraph"/>
        <w:numPr>
          <w:ilvl w:val="0"/>
          <w:numId w:val="1"/>
        </w:numPr>
      </w:pPr>
      <w:r>
        <w:t>Unless otherwise direct by the federal agency, work on existing awards may continue, provided there are enough funds to cover incurred costs</w:t>
      </w:r>
    </w:p>
    <w:p w14:paraId="12BDDE72" w14:textId="4388A805" w:rsidR="00FA2CB1" w:rsidRDefault="00FA2CB1" w:rsidP="00FA2CB1">
      <w:pPr>
        <w:pStyle w:val="ListParagraph"/>
        <w:numPr>
          <w:ilvl w:val="0"/>
          <w:numId w:val="1"/>
        </w:numPr>
      </w:pPr>
      <w:r>
        <w:t xml:space="preserve">Federal payment systems, such as PMS and </w:t>
      </w:r>
      <w:r>
        <w:t>ACM$</w:t>
      </w:r>
      <w:r>
        <w:t>, are expected to remain functional, which will allow OGC to continue to draw down funds on existing awards</w:t>
      </w:r>
    </w:p>
    <w:p w14:paraId="334EFC2A" w14:textId="77777777" w:rsidR="00503043" w:rsidRDefault="00503043" w:rsidP="00503043"/>
    <w:p w14:paraId="05F10273" w14:textId="13026612" w:rsidR="00503043" w:rsidRPr="00CA400E" w:rsidRDefault="00503043" w:rsidP="00503043">
      <w:pPr>
        <w:rPr>
          <w:b/>
          <w:bCs/>
          <w:u w:val="single"/>
        </w:rPr>
      </w:pPr>
      <w:r w:rsidRPr="00CA400E">
        <w:rPr>
          <w:b/>
          <w:bCs/>
          <w:u w:val="single"/>
        </w:rPr>
        <w:t>AGENCY-SPECIFIC GUIDANCE</w:t>
      </w:r>
    </w:p>
    <w:p w14:paraId="048C540B" w14:textId="5A63BC03" w:rsidR="00503043" w:rsidRPr="00535E01" w:rsidRDefault="00535E01" w:rsidP="00503043">
      <w:r>
        <w:t>Each federal agency has posted contingency plans. The following is a summary of the contingency plans for the University’s sponsors. Please note, some of the guidance from the federal government is extremely limited and generic.</w:t>
      </w:r>
    </w:p>
    <w:p w14:paraId="28B2CB51" w14:textId="77777777" w:rsidR="00535E01" w:rsidRDefault="00535E01" w:rsidP="00503043">
      <w:pPr>
        <w:rPr>
          <w:b/>
          <w:bCs/>
        </w:rPr>
      </w:pPr>
    </w:p>
    <w:p w14:paraId="0F0B1022" w14:textId="77777777" w:rsidR="00535E01" w:rsidRDefault="00535E01" w:rsidP="00503043">
      <w:pPr>
        <w:rPr>
          <w:b/>
          <w:bCs/>
        </w:rPr>
      </w:pPr>
    </w:p>
    <w:p w14:paraId="6924B7F9" w14:textId="489B6826" w:rsidR="00503043" w:rsidRDefault="00503043" w:rsidP="00503043">
      <w:pPr>
        <w:rPr>
          <w:u w:val="single"/>
        </w:rPr>
      </w:pPr>
      <w:r>
        <w:rPr>
          <w:u w:val="single"/>
        </w:rPr>
        <w:t>Department of Defense (DOD)</w:t>
      </w:r>
    </w:p>
    <w:p w14:paraId="06A43A60" w14:textId="212C6F9B" w:rsidR="00503043" w:rsidRPr="00BC128B" w:rsidRDefault="00BC128B" w:rsidP="00BC128B">
      <w:pPr>
        <w:pStyle w:val="ListParagraph"/>
        <w:numPr>
          <w:ilvl w:val="0"/>
          <w:numId w:val="2"/>
        </w:numPr>
        <w:rPr>
          <w:u w:val="single"/>
        </w:rPr>
      </w:pPr>
      <w:r>
        <w:t>For federal contracts, work may continue up to the limit of obligated funds</w:t>
      </w:r>
    </w:p>
    <w:p w14:paraId="783085B2" w14:textId="09AD9FEF" w:rsidR="00BC128B" w:rsidRPr="00535E01" w:rsidRDefault="00BC128B" w:rsidP="00BC128B">
      <w:pPr>
        <w:pStyle w:val="ListParagraph"/>
        <w:numPr>
          <w:ilvl w:val="0"/>
          <w:numId w:val="2"/>
        </w:numPr>
        <w:rPr>
          <w:u w:val="single"/>
        </w:rPr>
      </w:pPr>
      <w:r>
        <w:t>A stop work order may be issued for some federal contracts</w:t>
      </w:r>
    </w:p>
    <w:p w14:paraId="0F32D9C6" w14:textId="77777777" w:rsidR="00535E01" w:rsidRDefault="00535E01" w:rsidP="00535E01">
      <w:pPr>
        <w:rPr>
          <w:u w:val="single"/>
        </w:rPr>
      </w:pPr>
    </w:p>
    <w:p w14:paraId="3F44A97E" w14:textId="31362BCF" w:rsidR="00535E01" w:rsidRDefault="00535E01" w:rsidP="00535E01">
      <w:pPr>
        <w:rPr>
          <w:u w:val="single"/>
        </w:rPr>
      </w:pPr>
      <w:r>
        <w:rPr>
          <w:u w:val="single"/>
        </w:rPr>
        <w:t>Department of Education</w:t>
      </w:r>
    </w:p>
    <w:p w14:paraId="2F5165FE" w14:textId="20FD2F31" w:rsidR="00535E01" w:rsidRDefault="00535E01" w:rsidP="00535E01">
      <w:pPr>
        <w:pStyle w:val="ListParagraph"/>
        <w:numPr>
          <w:ilvl w:val="0"/>
          <w:numId w:val="3"/>
        </w:numPr>
      </w:pPr>
      <w:r>
        <w:t>Funding for mandatory grants will continue, including student loans</w:t>
      </w:r>
    </w:p>
    <w:p w14:paraId="4F7B5015" w14:textId="77777777" w:rsidR="00535E01" w:rsidRDefault="00535E01" w:rsidP="00535E01"/>
    <w:p w14:paraId="5324900D" w14:textId="26211DD0" w:rsidR="00535E01" w:rsidRDefault="00535E01" w:rsidP="00535E01">
      <w:pPr>
        <w:rPr>
          <w:u w:val="single"/>
        </w:rPr>
      </w:pPr>
      <w:r>
        <w:rPr>
          <w:u w:val="single"/>
        </w:rPr>
        <w:t>Department of Health and Human Services</w:t>
      </w:r>
    </w:p>
    <w:p w14:paraId="06218F89" w14:textId="7ADDF68A" w:rsidR="00535E01" w:rsidRDefault="00535E01" w:rsidP="00535E01">
      <w:pPr>
        <w:pStyle w:val="ListParagraph"/>
        <w:numPr>
          <w:ilvl w:val="0"/>
          <w:numId w:val="3"/>
        </w:numPr>
      </w:pPr>
      <w:r>
        <w:t>The Payment Management system will continue to operate</w:t>
      </w:r>
    </w:p>
    <w:p w14:paraId="587840B1" w14:textId="289D1E9D" w:rsidR="00535E01" w:rsidRDefault="00535E01" w:rsidP="00535E01">
      <w:pPr>
        <w:pStyle w:val="ListParagraph"/>
        <w:numPr>
          <w:ilvl w:val="0"/>
          <w:numId w:val="3"/>
        </w:numPr>
      </w:pPr>
      <w:r>
        <w:t>“HHS will provide the federal grantor community with guidance and updates in the event of a government shutdown”</w:t>
      </w:r>
    </w:p>
    <w:p w14:paraId="1EA41987" w14:textId="77777777" w:rsidR="00535E01" w:rsidRDefault="00535E01" w:rsidP="00CA400E"/>
    <w:p w14:paraId="2BF3EBDA" w14:textId="21BA3D96" w:rsidR="00CA400E" w:rsidRDefault="00CA400E" w:rsidP="00CA400E">
      <w:pPr>
        <w:rPr>
          <w:u w:val="single"/>
        </w:rPr>
      </w:pPr>
      <w:r>
        <w:rPr>
          <w:u w:val="single"/>
        </w:rPr>
        <w:t>Department of Veterans’ Affairs</w:t>
      </w:r>
    </w:p>
    <w:p w14:paraId="306B116B" w14:textId="2B9F013B" w:rsidR="00CA400E" w:rsidRPr="00CA400E" w:rsidRDefault="00CA400E" w:rsidP="00CA400E">
      <w:pPr>
        <w:pStyle w:val="ListParagraph"/>
        <w:numPr>
          <w:ilvl w:val="0"/>
          <w:numId w:val="4"/>
        </w:numPr>
        <w:rPr>
          <w:u w:val="single"/>
        </w:rPr>
      </w:pPr>
      <w:r>
        <w:t>VA medical facilities are expected to continue operations</w:t>
      </w:r>
    </w:p>
    <w:p w14:paraId="0B5DB5EB" w14:textId="77777777" w:rsidR="00CA400E" w:rsidRDefault="00CA400E" w:rsidP="00CA400E">
      <w:pPr>
        <w:rPr>
          <w:u w:val="single"/>
        </w:rPr>
      </w:pPr>
    </w:p>
    <w:p w14:paraId="00A71CE2" w14:textId="63EE8DAE" w:rsidR="00CA400E" w:rsidRDefault="00CA400E" w:rsidP="00CA400E">
      <w:pPr>
        <w:rPr>
          <w:u w:val="single"/>
        </w:rPr>
      </w:pPr>
      <w:r>
        <w:rPr>
          <w:u w:val="single"/>
        </w:rPr>
        <w:t>National Science Foundation</w:t>
      </w:r>
    </w:p>
    <w:p w14:paraId="0B24C017" w14:textId="1FBBAC4E" w:rsidR="00CA400E" w:rsidRDefault="00CA400E" w:rsidP="00CA400E">
      <w:pPr>
        <w:pStyle w:val="ListParagraph"/>
        <w:numPr>
          <w:ilvl w:val="0"/>
          <w:numId w:val="4"/>
        </w:numPr>
      </w:pPr>
      <w:r>
        <w:t>Research.gov will continue to function</w:t>
      </w:r>
    </w:p>
    <w:p w14:paraId="62A4CB78" w14:textId="65EB6F37" w:rsidR="00CA400E" w:rsidRPr="00CA400E" w:rsidRDefault="00CA400E" w:rsidP="00CA400E">
      <w:pPr>
        <w:ind w:left="360"/>
      </w:pPr>
    </w:p>
    <w:p w14:paraId="1616BCE4" w14:textId="77777777" w:rsidR="00BC128B" w:rsidRDefault="00BC128B" w:rsidP="00535E01">
      <w:pPr>
        <w:rPr>
          <w:u w:val="single"/>
        </w:rPr>
      </w:pPr>
    </w:p>
    <w:p w14:paraId="6D1E330D" w14:textId="77777777" w:rsidR="00535E01" w:rsidRPr="00535E01" w:rsidRDefault="00535E01" w:rsidP="00535E01">
      <w:pPr>
        <w:rPr>
          <w:u w:val="single"/>
        </w:rPr>
      </w:pPr>
    </w:p>
    <w:sectPr w:rsidR="00535E01" w:rsidRPr="00535E01" w:rsidSect="006F2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26FB"/>
    <w:multiLevelType w:val="hybridMultilevel"/>
    <w:tmpl w:val="8DA8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45993"/>
    <w:multiLevelType w:val="hybridMultilevel"/>
    <w:tmpl w:val="6D3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867FF"/>
    <w:multiLevelType w:val="hybridMultilevel"/>
    <w:tmpl w:val="02B0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93E1B"/>
    <w:multiLevelType w:val="hybridMultilevel"/>
    <w:tmpl w:val="9DE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746298">
    <w:abstractNumId w:val="1"/>
  </w:num>
  <w:num w:numId="2" w16cid:durableId="499123679">
    <w:abstractNumId w:val="2"/>
  </w:num>
  <w:num w:numId="3" w16cid:durableId="16350874">
    <w:abstractNumId w:val="0"/>
  </w:num>
  <w:num w:numId="4" w16cid:durableId="1779720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B1"/>
    <w:rsid w:val="00503043"/>
    <w:rsid w:val="00535E01"/>
    <w:rsid w:val="006F2170"/>
    <w:rsid w:val="00BC128B"/>
    <w:rsid w:val="00CA400E"/>
    <w:rsid w:val="00DE547B"/>
    <w:rsid w:val="00FA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2851"/>
  <w15:chartTrackingRefBased/>
  <w15:docId w15:val="{B4E69246-93CC-4099-A5B4-4BFB44E4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Shane</dc:creator>
  <cp:keywords/>
  <dc:description/>
  <cp:lastModifiedBy>Jernigan, Shane</cp:lastModifiedBy>
  <cp:revision>1</cp:revision>
  <dcterms:created xsi:type="dcterms:W3CDTF">2023-09-29T20:39:00Z</dcterms:created>
  <dcterms:modified xsi:type="dcterms:W3CDTF">2023-09-29T21:26:00Z</dcterms:modified>
</cp:coreProperties>
</file>