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62B47" w14:textId="5BB8C4EC" w:rsidR="00354F06" w:rsidRDefault="005871B5">
      <w:bookmarkStart w:id="0" w:name="_GoBack"/>
      <w:bookmarkEnd w:id="0"/>
      <w:r>
        <w:rPr>
          <w:noProof/>
        </w:rPr>
        <w:drawing>
          <wp:inline distT="0" distB="0" distL="0" distR="0" wp14:anchorId="4F2BAC89" wp14:editId="6137ECED">
            <wp:extent cx="3028950" cy="609856"/>
            <wp:effectExtent l="0" t="0" r="0" b="0"/>
            <wp:docPr id="2" name="Picture 2" descr="brand_config01_D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nd_config01_DU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087" cy="63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B5A46" w14:textId="77777777" w:rsidR="003F0DDC" w:rsidRDefault="003F0DDC" w:rsidP="00C82959">
      <w:pPr>
        <w:rPr>
          <w:b/>
          <w:bCs/>
          <w:color w:val="FF0000"/>
          <w:sz w:val="24"/>
          <w:szCs w:val="24"/>
        </w:rPr>
      </w:pPr>
    </w:p>
    <w:p w14:paraId="06A2AE81" w14:textId="58F915EF" w:rsidR="00C82959" w:rsidRDefault="00C82959" w:rsidP="00C82959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Effective </w:t>
      </w:r>
      <w:r w:rsidR="00E27EF7">
        <w:rPr>
          <w:b/>
          <w:bCs/>
          <w:color w:val="FF0000"/>
          <w:sz w:val="24"/>
          <w:szCs w:val="24"/>
        </w:rPr>
        <w:t>February</w:t>
      </w:r>
      <w:r>
        <w:rPr>
          <w:b/>
          <w:bCs/>
          <w:color w:val="FF0000"/>
          <w:sz w:val="24"/>
          <w:szCs w:val="24"/>
        </w:rPr>
        <w:t xml:space="preserve"> 1, 2021</w:t>
      </w:r>
    </w:p>
    <w:p w14:paraId="67C82007" w14:textId="77777777" w:rsidR="003F0DDC" w:rsidRDefault="003F0DDC" w:rsidP="005871B5">
      <w:pPr>
        <w:jc w:val="center"/>
        <w:rPr>
          <w:b/>
          <w:bCs/>
          <w:sz w:val="28"/>
          <w:szCs w:val="28"/>
        </w:rPr>
      </w:pPr>
    </w:p>
    <w:p w14:paraId="620C56FE" w14:textId="22531137" w:rsidR="005871B5" w:rsidRDefault="005871B5" w:rsidP="005871B5">
      <w:pPr>
        <w:jc w:val="center"/>
        <w:rPr>
          <w:b/>
          <w:bCs/>
          <w:sz w:val="28"/>
          <w:szCs w:val="28"/>
        </w:rPr>
      </w:pPr>
      <w:r w:rsidRPr="005871B5">
        <w:rPr>
          <w:b/>
          <w:bCs/>
          <w:sz w:val="28"/>
          <w:szCs w:val="28"/>
        </w:rPr>
        <w:t>NIH RPPR Routing</w:t>
      </w:r>
      <w:r w:rsidR="009D4F59">
        <w:rPr>
          <w:b/>
          <w:bCs/>
          <w:sz w:val="28"/>
          <w:szCs w:val="28"/>
        </w:rPr>
        <w:t xml:space="preserve"> and Submission</w:t>
      </w:r>
      <w:r w:rsidRPr="005871B5">
        <w:rPr>
          <w:b/>
          <w:bCs/>
          <w:sz w:val="28"/>
          <w:szCs w:val="28"/>
        </w:rPr>
        <w:t xml:space="preserve"> Procedures</w:t>
      </w:r>
    </w:p>
    <w:p w14:paraId="571E9555" w14:textId="3A5B2AD8" w:rsidR="005871B5" w:rsidRDefault="005871B5" w:rsidP="005871B5">
      <w:pPr>
        <w:rPr>
          <w:sz w:val="24"/>
          <w:szCs w:val="24"/>
        </w:rPr>
      </w:pPr>
      <w:r w:rsidRPr="003A7410">
        <w:rPr>
          <w:b/>
          <w:bCs/>
          <w:sz w:val="24"/>
          <w:szCs w:val="24"/>
          <w:u w:val="single"/>
        </w:rPr>
        <w:t>Background: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The new internal routing procedures are designed to streamline the RPPR submission process and the </w:t>
      </w:r>
      <w:r w:rsidR="00131B49">
        <w:rPr>
          <w:sz w:val="24"/>
          <w:szCs w:val="24"/>
        </w:rPr>
        <w:t xml:space="preserve">initiation of </w:t>
      </w:r>
      <w:r>
        <w:rPr>
          <w:sz w:val="24"/>
          <w:szCs w:val="24"/>
        </w:rPr>
        <w:t xml:space="preserve">Conflict of Interest </w:t>
      </w:r>
      <w:r w:rsidR="00CE6CD9">
        <w:rPr>
          <w:sz w:val="24"/>
          <w:szCs w:val="24"/>
        </w:rPr>
        <w:t>verification</w:t>
      </w:r>
      <w:r>
        <w:rPr>
          <w:sz w:val="24"/>
          <w:szCs w:val="24"/>
        </w:rPr>
        <w:t>.</w:t>
      </w:r>
    </w:p>
    <w:p w14:paraId="550ACE88" w14:textId="2C0542A8" w:rsidR="005871B5" w:rsidRDefault="005871B5" w:rsidP="005871B5">
      <w:pPr>
        <w:rPr>
          <w:sz w:val="24"/>
          <w:szCs w:val="24"/>
        </w:rPr>
      </w:pPr>
    </w:p>
    <w:p w14:paraId="54EF77B9" w14:textId="3C3DEE3E" w:rsidR="005871B5" w:rsidRDefault="009D4F59" w:rsidP="005871B5">
      <w:pPr>
        <w:rPr>
          <w:sz w:val="24"/>
          <w:szCs w:val="24"/>
        </w:rPr>
      </w:pPr>
      <w:r w:rsidRPr="005871B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4B74A1F" wp14:editId="588CB09D">
                <wp:simplePos x="0" y="0"/>
                <wp:positionH relativeFrom="column">
                  <wp:posOffset>1047750</wp:posOffset>
                </wp:positionH>
                <wp:positionV relativeFrom="paragraph">
                  <wp:posOffset>149225</wp:posOffset>
                </wp:positionV>
                <wp:extent cx="5657850" cy="923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8221B" w14:textId="58758D1E" w:rsidR="005871B5" w:rsidRPr="002B0E14" w:rsidRDefault="005871B5" w:rsidP="005871B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0E1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Complete the RPPR in eRA Commons</w:t>
                            </w:r>
                            <w:r w:rsidR="004E3283" w:rsidRPr="002B0E1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623068" w:rsidRPr="002B0E1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144A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 ensure proper OGC review, please </w:t>
                            </w:r>
                            <w:r w:rsidR="00AD14FF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minimize</w:t>
                            </w:r>
                            <w:r w:rsidR="0060144A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errors and </w:t>
                            </w:r>
                            <w:r w:rsidR="00AD14FF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warnings for the following sections: 1) key personnel</w:t>
                            </w:r>
                            <w:r w:rsidR="00C3133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;</w:t>
                            </w:r>
                            <w:r w:rsidR="00AD14FF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2) </w:t>
                            </w:r>
                            <w:r w:rsidR="00C3133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effort;</w:t>
                            </w:r>
                            <w:r w:rsidR="00AD14FF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133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and</w:t>
                            </w:r>
                            <w:r w:rsidR="00AD14FF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3) budget, if applicable. </w:t>
                            </w:r>
                            <w:r w:rsidR="002B0E1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4418" w:rsidRPr="002B0E14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B74A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5pt;margin-top:11.75pt;width:445.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" stroked="f">
                <v:textbox>
                  <w:txbxContent>
                    <w:p w14:paraId="71A8221B" w14:textId="58758D1E" w:rsidR="005871B5" w:rsidRPr="002B0E14" w:rsidRDefault="005871B5" w:rsidP="005871B5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2B0E1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Complete the RPPR in </w:t>
                      </w:r>
                      <w:proofErr w:type="spellStart"/>
                      <w:r w:rsidRPr="002B0E1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eRA</w:t>
                      </w:r>
                      <w:proofErr w:type="spellEnd"/>
                      <w:r w:rsidRPr="002B0E1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Commons</w:t>
                      </w:r>
                      <w:r w:rsidR="004E3283" w:rsidRPr="002B0E1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623068" w:rsidRPr="002B0E1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0144A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To ensure proper OGC review, please </w:t>
                      </w:r>
                      <w:r w:rsidR="00AD14FF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minimize</w:t>
                      </w:r>
                      <w:r w:rsidR="0060144A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errors and </w:t>
                      </w:r>
                      <w:r w:rsidR="00AD14FF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warnings for the following sections: 1) key personnel</w:t>
                      </w:r>
                      <w:r w:rsidR="00C3133D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;</w:t>
                      </w:r>
                      <w:r w:rsidR="00AD14FF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2) </w:t>
                      </w:r>
                      <w:r w:rsidR="00C3133D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effort;</w:t>
                      </w:r>
                      <w:r w:rsidR="00AD14FF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3133D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and</w:t>
                      </w:r>
                      <w:r w:rsidR="00AD14FF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3) budget, if applicable. </w:t>
                      </w:r>
                      <w:r w:rsidR="002B0E1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54418" w:rsidRPr="002B0E14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71B5">
        <w:rPr>
          <w:noProof/>
          <w:sz w:val="24"/>
          <w:szCs w:val="24"/>
        </w:rPr>
        <w:drawing>
          <wp:inline distT="0" distB="0" distL="0" distR="0" wp14:anchorId="440D0062" wp14:editId="12086175">
            <wp:extent cx="914400" cy="914400"/>
            <wp:effectExtent l="0" t="0" r="0" b="0"/>
            <wp:docPr id="3" name="Graphic 3" descr="Bad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Bad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FDE78" w14:textId="57EAEB88" w:rsidR="005871B5" w:rsidRDefault="005871B5" w:rsidP="005871B5">
      <w:pPr>
        <w:rPr>
          <w:sz w:val="24"/>
          <w:szCs w:val="24"/>
        </w:rPr>
      </w:pPr>
    </w:p>
    <w:p w14:paraId="4C145AD3" w14:textId="6A5AAFF9" w:rsidR="005871B5" w:rsidRDefault="00C8490D" w:rsidP="005871B5">
      <w:pPr>
        <w:rPr>
          <w:sz w:val="24"/>
          <w:szCs w:val="24"/>
        </w:rPr>
      </w:pPr>
      <w:r w:rsidRPr="005871B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457723C" wp14:editId="3C7A6364">
                <wp:simplePos x="0" y="0"/>
                <wp:positionH relativeFrom="column">
                  <wp:posOffset>1028700</wp:posOffset>
                </wp:positionH>
                <wp:positionV relativeFrom="paragraph">
                  <wp:posOffset>177800</wp:posOffset>
                </wp:positionV>
                <wp:extent cx="5657850" cy="6858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FF65E" w14:textId="1EC54F0D" w:rsidR="009D4F59" w:rsidRPr="00C8490D" w:rsidRDefault="009D4F59" w:rsidP="009D4F5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8490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Download the PDF of the completed RPPR</w:t>
                            </w:r>
                            <w:r w:rsidR="00295D9C" w:rsidRPr="00C8490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from eRA Commons</w:t>
                            </w:r>
                            <w:r w:rsidR="00A66D7C" w:rsidRPr="00C8490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455EC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Attach related documents, such as the itemized budget, as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57723C" id="_x0000_s1027" type="#_x0000_t202" style="position:absolute;margin-left:81pt;margin-top:14pt;width:445.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" stroked="f">
                <v:textbox>
                  <w:txbxContent>
                    <w:p w14:paraId="1F2FF65E" w14:textId="1EC54F0D" w:rsidR="009D4F59" w:rsidRPr="00C8490D" w:rsidRDefault="009D4F59" w:rsidP="009D4F59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C8490D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Download the PDF of the completed RPPR</w:t>
                      </w:r>
                      <w:r w:rsidR="00295D9C" w:rsidRPr="00C8490D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from </w:t>
                      </w:r>
                      <w:proofErr w:type="spellStart"/>
                      <w:r w:rsidR="00295D9C" w:rsidRPr="00C8490D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eRA</w:t>
                      </w:r>
                      <w:proofErr w:type="spellEnd"/>
                      <w:r w:rsidR="00295D9C" w:rsidRPr="00C8490D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Commons</w:t>
                      </w:r>
                      <w:r w:rsidR="00A66D7C" w:rsidRPr="00C8490D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455EC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Attach related documents, such as the itemized budget, as necessary.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F59">
        <w:rPr>
          <w:noProof/>
          <w:sz w:val="24"/>
          <w:szCs w:val="24"/>
        </w:rPr>
        <w:drawing>
          <wp:inline distT="0" distB="0" distL="0" distR="0" wp14:anchorId="18CD529C" wp14:editId="12EA3B2E">
            <wp:extent cx="914400" cy="914400"/>
            <wp:effectExtent l="0" t="0" r="0" b="0"/>
            <wp:docPr id="4" name="Graphic 4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Badg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8E7FF" w14:textId="12EB5BD6" w:rsidR="009D4F59" w:rsidRDefault="009D4F59" w:rsidP="005871B5">
      <w:pPr>
        <w:rPr>
          <w:sz w:val="24"/>
          <w:szCs w:val="24"/>
        </w:rPr>
      </w:pPr>
    </w:p>
    <w:p w14:paraId="4DFE1746" w14:textId="3AA38CEF" w:rsidR="009D4F59" w:rsidRDefault="009D4F59" w:rsidP="005871B5">
      <w:pPr>
        <w:rPr>
          <w:sz w:val="24"/>
          <w:szCs w:val="24"/>
        </w:rPr>
      </w:pPr>
      <w:r w:rsidRPr="005871B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7BC8B9A" wp14:editId="3C9267E6">
                <wp:simplePos x="0" y="0"/>
                <wp:positionH relativeFrom="column">
                  <wp:posOffset>1028700</wp:posOffset>
                </wp:positionH>
                <wp:positionV relativeFrom="paragraph">
                  <wp:posOffset>135890</wp:posOffset>
                </wp:positionV>
                <wp:extent cx="5657850" cy="10096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76F4A" w14:textId="100DF7B8" w:rsidR="009D4F59" w:rsidRPr="00350A0E" w:rsidRDefault="009D4F59" w:rsidP="009D4F5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0A0E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Complete the RPPR submission form via </w:t>
                            </w:r>
                            <w:hyperlink r:id="rId11" w:history="1">
                              <w:r w:rsidRPr="00350A0E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Formstack</w:t>
                              </w:r>
                            </w:hyperlink>
                            <w:r w:rsidRPr="00350A0E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attach the PDF of the RPPR. OGC must receive the RPPR </w:t>
                            </w:r>
                            <w:r w:rsidR="005C2383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350A0E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business days prior to the due date.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BC8B9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1pt;margin-top:10.7pt;width:445.5pt;height:7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" stroked="f">
                <v:textbox>
                  <w:txbxContent>
                    <w:p w14:paraId="02776F4A" w14:textId="100DF7B8" w:rsidR="009D4F59" w:rsidRPr="00350A0E" w:rsidRDefault="009D4F59" w:rsidP="009D4F59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350A0E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Complete the RPPR submission form via </w:t>
                      </w:r>
                      <w:hyperlink r:id="rId12" w:history="1">
                        <w:r w:rsidRPr="00350A0E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Formstack</w:t>
                        </w:r>
                      </w:hyperlink>
                      <w:r w:rsidRPr="00350A0E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and attach the PDF of the RPPR. OGC must receive the RPPR </w:t>
                      </w:r>
                      <w:r w:rsidR="005C2383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350A0E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business days prior to the due date.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293AF4DA" wp14:editId="2E138C52">
            <wp:extent cx="914400" cy="914400"/>
            <wp:effectExtent l="0" t="0" r="0" b="0"/>
            <wp:docPr id="6" name="Graphic 6" descr="Bad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Badg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1B581" w14:textId="77777777" w:rsidR="009D4F59" w:rsidRDefault="009D4F59" w:rsidP="005871B5">
      <w:pPr>
        <w:rPr>
          <w:sz w:val="24"/>
          <w:szCs w:val="24"/>
        </w:rPr>
      </w:pPr>
    </w:p>
    <w:p w14:paraId="1140E5A4" w14:textId="602EFCCA" w:rsidR="009D4F59" w:rsidRDefault="009D4F59" w:rsidP="005871B5">
      <w:pPr>
        <w:rPr>
          <w:sz w:val="24"/>
          <w:szCs w:val="24"/>
        </w:rPr>
      </w:pPr>
      <w:r w:rsidRPr="005871B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A7F6233" wp14:editId="28EE24B6">
                <wp:simplePos x="0" y="0"/>
                <wp:positionH relativeFrom="column">
                  <wp:posOffset>1066800</wp:posOffset>
                </wp:positionH>
                <wp:positionV relativeFrom="paragraph">
                  <wp:posOffset>105410</wp:posOffset>
                </wp:positionV>
                <wp:extent cx="5657850" cy="60007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12507" w14:textId="694F572F" w:rsidR="009D4F59" w:rsidRPr="00DB755B" w:rsidRDefault="009D4F59" w:rsidP="009D4F5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755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OGC will review the RPPR and complete the COI process.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7F6233" id="_x0000_s1029" type="#_x0000_t202" style="position:absolute;margin-left:84pt;margin-top:8.3pt;width:445.5pt;height:4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" stroked="f">
                <v:textbox>
                  <w:txbxContent>
                    <w:p w14:paraId="3E912507" w14:textId="694F572F" w:rsidR="009D4F59" w:rsidRPr="00DB755B" w:rsidRDefault="009D4F59" w:rsidP="009D4F59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DB755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OGC will review the RPPR and complete the COI process.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6A6C0EB7" wp14:editId="3E05DC86">
            <wp:extent cx="914400" cy="914400"/>
            <wp:effectExtent l="0" t="0" r="0" b="0"/>
            <wp:docPr id="8" name="Graphic 8" descr="Bad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Badge 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38FAD" w14:textId="2380C51D" w:rsidR="002A5505" w:rsidRDefault="00DF757C" w:rsidP="005871B5">
      <w:pPr>
        <w:rPr>
          <w:sz w:val="24"/>
          <w:szCs w:val="24"/>
        </w:rPr>
      </w:pPr>
      <w:r w:rsidRPr="005871B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311DE1B" wp14:editId="63BF7389">
                <wp:simplePos x="0" y="0"/>
                <wp:positionH relativeFrom="column">
                  <wp:posOffset>1047750</wp:posOffset>
                </wp:positionH>
                <wp:positionV relativeFrom="paragraph">
                  <wp:posOffset>171450</wp:posOffset>
                </wp:positionV>
                <wp:extent cx="5657850" cy="1114425"/>
                <wp:effectExtent l="0" t="0" r="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4ADF7" w14:textId="532E0CC8" w:rsidR="00DF757C" w:rsidRPr="00DB755B" w:rsidRDefault="00DF757C" w:rsidP="00DF757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OGC will submit the RPP</w:t>
                            </w:r>
                            <w:r w:rsidR="00490635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R to NIH if it is free of errors and warnings. If the RPPR is not complete, OGC will return the RPPR to the administrative unit</w:t>
                            </w:r>
                            <w:r w:rsidR="00C62FE5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 complete. The final RPPR must be routed to OGC for submission. Administrative units are responsible for all late RPPR submissions.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11DE1B" id="_x0000_s1030" type="#_x0000_t202" style="position:absolute;margin-left:82.5pt;margin-top:13.5pt;width:445.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" stroked="f">
                <v:textbox>
                  <w:txbxContent>
                    <w:p w14:paraId="1514ADF7" w14:textId="532E0CC8" w:rsidR="00DF757C" w:rsidRPr="00DB755B" w:rsidRDefault="00DF757C" w:rsidP="00DF757C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OGC will submit the RPP</w:t>
                      </w:r>
                      <w:r w:rsidR="00490635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R to NIH if it is free of errors and warnings. If the RPPR is not complete, OGC will return the RPPR to the administrative unit</w:t>
                      </w:r>
                      <w:r w:rsidR="00C62FE5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to complete. The final RPPR must be routed to OGC for submission. Administrative units are responsible for all late RPPR submissions.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3F1BB8" w14:textId="3FAE79BB" w:rsidR="002A5505" w:rsidRDefault="00DF757C" w:rsidP="005871B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D61DB05" wp14:editId="78C8F3ED">
            <wp:extent cx="914400" cy="914400"/>
            <wp:effectExtent l="0" t="0" r="0" b="0"/>
            <wp:docPr id="11" name="Graphic 11" descr="Badge 5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Badge 5 with solid fill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CDAE6" w14:textId="0DC67456" w:rsidR="002A5505" w:rsidRDefault="002A5505" w:rsidP="005871B5">
      <w:pPr>
        <w:rPr>
          <w:sz w:val="24"/>
          <w:szCs w:val="24"/>
        </w:rPr>
      </w:pPr>
    </w:p>
    <w:p w14:paraId="647060E4" w14:textId="4641F3CD" w:rsidR="009D4F59" w:rsidRDefault="009D4F59" w:rsidP="005871B5">
      <w:pPr>
        <w:rPr>
          <w:sz w:val="24"/>
          <w:szCs w:val="24"/>
        </w:rPr>
      </w:pPr>
    </w:p>
    <w:p w14:paraId="09AFC7D5" w14:textId="77777777" w:rsidR="002A5505" w:rsidRDefault="002A5505" w:rsidP="005871B5">
      <w:pPr>
        <w:rPr>
          <w:rFonts w:cstheme="minorHAnsi"/>
          <w:sz w:val="24"/>
          <w:szCs w:val="24"/>
          <w:u w:val="single"/>
        </w:rPr>
        <w:sectPr w:rsidR="002A5505" w:rsidSect="005D77F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C2F6FB" w14:textId="58EFFC52" w:rsidR="00A66D7C" w:rsidRPr="00A149AD" w:rsidRDefault="00306373" w:rsidP="005871B5">
      <w:pPr>
        <w:rPr>
          <w:rFonts w:cstheme="minorHAnsi"/>
          <w:sz w:val="24"/>
          <w:szCs w:val="24"/>
          <w:u w:val="single"/>
        </w:rPr>
      </w:pPr>
      <w:r w:rsidRPr="003A7410">
        <w:rPr>
          <w:rFonts w:cstheme="minorHAnsi"/>
          <w:b/>
          <w:bCs/>
          <w:sz w:val="24"/>
          <w:szCs w:val="24"/>
          <w:u w:val="single"/>
        </w:rPr>
        <w:t>Contact</w:t>
      </w:r>
      <w:r w:rsidRPr="00A149AD">
        <w:rPr>
          <w:rFonts w:cstheme="minorHAnsi"/>
          <w:sz w:val="24"/>
          <w:szCs w:val="24"/>
          <w:u w:val="single"/>
        </w:rPr>
        <w:t>:</w:t>
      </w:r>
    </w:p>
    <w:p w14:paraId="391DBDDC" w14:textId="083AB5B6" w:rsidR="00306373" w:rsidRPr="00A149AD" w:rsidRDefault="00622B5E" w:rsidP="005871B5">
      <w:pPr>
        <w:rPr>
          <w:rFonts w:cstheme="minorHAnsi"/>
          <w:sz w:val="24"/>
          <w:szCs w:val="24"/>
        </w:rPr>
      </w:pPr>
      <w:hyperlink r:id="rId19" w:history="1">
        <w:r w:rsidR="006228FB" w:rsidRPr="00A149AD">
          <w:rPr>
            <w:rStyle w:val="Hyperlink"/>
            <w:rFonts w:cstheme="minorHAnsi"/>
            <w:sz w:val="24"/>
            <w:szCs w:val="24"/>
          </w:rPr>
          <w:t>xenia@ucdenver.edu</w:t>
        </w:r>
      </w:hyperlink>
      <w:r w:rsidR="00306373" w:rsidRPr="00A149AD">
        <w:rPr>
          <w:rFonts w:cstheme="minorHAnsi"/>
          <w:sz w:val="24"/>
          <w:szCs w:val="24"/>
        </w:rPr>
        <w:t xml:space="preserve"> </w:t>
      </w:r>
    </w:p>
    <w:p w14:paraId="72A27A33" w14:textId="3791FB64" w:rsidR="00306373" w:rsidRDefault="00306373" w:rsidP="005871B5">
      <w:pPr>
        <w:rPr>
          <w:rFonts w:cstheme="minorHAnsi"/>
          <w:sz w:val="24"/>
          <w:szCs w:val="24"/>
          <w:u w:val="single"/>
        </w:rPr>
      </w:pPr>
    </w:p>
    <w:p w14:paraId="7665E9F7" w14:textId="3ECDA33D" w:rsidR="002A5505" w:rsidRDefault="002A5505" w:rsidP="005871B5">
      <w:pPr>
        <w:rPr>
          <w:rFonts w:cstheme="minorHAnsi"/>
          <w:sz w:val="24"/>
          <w:szCs w:val="24"/>
          <w:u w:val="single"/>
        </w:rPr>
      </w:pPr>
    </w:p>
    <w:p w14:paraId="7B18055E" w14:textId="77777777" w:rsidR="002126D5" w:rsidRDefault="002126D5" w:rsidP="005871B5">
      <w:pPr>
        <w:rPr>
          <w:rFonts w:cstheme="minorHAnsi"/>
          <w:sz w:val="24"/>
          <w:szCs w:val="24"/>
          <w:u w:val="single"/>
        </w:rPr>
      </w:pPr>
    </w:p>
    <w:p w14:paraId="12809EF3" w14:textId="77777777" w:rsidR="002126D5" w:rsidRDefault="002126D5" w:rsidP="005871B5">
      <w:pPr>
        <w:rPr>
          <w:rFonts w:cstheme="minorHAnsi"/>
          <w:sz w:val="24"/>
          <w:szCs w:val="24"/>
          <w:u w:val="single"/>
        </w:rPr>
      </w:pPr>
    </w:p>
    <w:p w14:paraId="6B32EBAB" w14:textId="6392D19F" w:rsidR="009D4F59" w:rsidRPr="003A7410" w:rsidRDefault="002126D5" w:rsidP="005871B5">
      <w:pPr>
        <w:rPr>
          <w:rFonts w:cstheme="minorHAnsi"/>
          <w:b/>
          <w:bCs/>
          <w:sz w:val="24"/>
          <w:szCs w:val="24"/>
          <w:u w:val="single"/>
        </w:rPr>
      </w:pPr>
      <w:r w:rsidRPr="003A7410">
        <w:rPr>
          <w:rFonts w:cstheme="minorHAnsi"/>
          <w:b/>
          <w:bCs/>
          <w:sz w:val="24"/>
          <w:szCs w:val="24"/>
          <w:u w:val="single"/>
        </w:rPr>
        <w:t>R</w:t>
      </w:r>
      <w:r w:rsidR="009D4F59" w:rsidRPr="003A7410">
        <w:rPr>
          <w:rFonts w:cstheme="minorHAnsi"/>
          <w:b/>
          <w:bCs/>
          <w:sz w:val="24"/>
          <w:szCs w:val="24"/>
          <w:u w:val="single"/>
        </w:rPr>
        <w:t>esources</w:t>
      </w:r>
      <w:r w:rsidR="00C82959" w:rsidRPr="003A7410">
        <w:rPr>
          <w:rFonts w:cstheme="minorHAnsi"/>
          <w:b/>
          <w:bCs/>
          <w:sz w:val="24"/>
          <w:szCs w:val="24"/>
          <w:u w:val="single"/>
        </w:rPr>
        <w:t>:</w:t>
      </w:r>
    </w:p>
    <w:p w14:paraId="08C71592" w14:textId="66F5153E" w:rsidR="009D4F59" w:rsidRPr="00A149AD" w:rsidRDefault="00622B5E" w:rsidP="009D4F5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hyperlink r:id="rId20" w:history="1">
        <w:r w:rsidR="009D4F59" w:rsidRPr="00A149AD">
          <w:rPr>
            <w:rStyle w:val="Hyperlink"/>
            <w:rFonts w:cstheme="minorHAnsi"/>
            <w:sz w:val="24"/>
            <w:szCs w:val="24"/>
          </w:rPr>
          <w:t xml:space="preserve">NIH RPPR </w:t>
        </w:r>
        <w:r w:rsidR="00C82959" w:rsidRPr="00A149AD">
          <w:rPr>
            <w:rStyle w:val="Hyperlink"/>
            <w:rFonts w:cstheme="minorHAnsi"/>
            <w:sz w:val="24"/>
            <w:szCs w:val="24"/>
          </w:rPr>
          <w:t>information</w:t>
        </w:r>
      </w:hyperlink>
    </w:p>
    <w:p w14:paraId="4D9C0D15" w14:textId="7D8E76BB" w:rsidR="009D4F59" w:rsidRPr="00A149AD" w:rsidRDefault="00622B5E" w:rsidP="009D4F5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hyperlink r:id="rId21" w:history="1">
        <w:r w:rsidR="009D4F59" w:rsidRPr="00A149AD">
          <w:rPr>
            <w:rStyle w:val="Hyperlink"/>
            <w:rFonts w:cstheme="minorHAnsi"/>
            <w:sz w:val="24"/>
            <w:szCs w:val="24"/>
          </w:rPr>
          <w:t>OGC NIH RPPR Procedures</w:t>
        </w:r>
      </w:hyperlink>
    </w:p>
    <w:p w14:paraId="2529D5C9" w14:textId="1BD02C34" w:rsidR="009D4F59" w:rsidRPr="00A149AD" w:rsidRDefault="00622B5E" w:rsidP="009D4F5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hyperlink r:id="rId22" w:history="1">
        <w:r w:rsidR="009D4F59" w:rsidRPr="00A149AD">
          <w:rPr>
            <w:rStyle w:val="Hyperlink"/>
            <w:rFonts w:cstheme="minorHAnsi"/>
            <w:sz w:val="24"/>
            <w:szCs w:val="24"/>
          </w:rPr>
          <w:t>OGC RPPR Formstack Submission Form</w:t>
        </w:r>
      </w:hyperlink>
      <w:r w:rsidR="009D4F59" w:rsidRPr="00A149AD">
        <w:rPr>
          <w:rFonts w:cstheme="minorHAnsi"/>
          <w:sz w:val="24"/>
          <w:szCs w:val="24"/>
        </w:rPr>
        <w:t xml:space="preserve"> </w:t>
      </w:r>
    </w:p>
    <w:sectPr w:rsidR="009D4F59" w:rsidRPr="00A149AD" w:rsidSect="002A550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220FA"/>
    <w:multiLevelType w:val="hybridMultilevel"/>
    <w:tmpl w:val="8DA4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B5"/>
    <w:rsid w:val="00131B49"/>
    <w:rsid w:val="002126D5"/>
    <w:rsid w:val="00295D9C"/>
    <w:rsid w:val="002A5505"/>
    <w:rsid w:val="002B0E14"/>
    <w:rsid w:val="00306373"/>
    <w:rsid w:val="0032519F"/>
    <w:rsid w:val="00350A0E"/>
    <w:rsid w:val="00354F06"/>
    <w:rsid w:val="003A7410"/>
    <w:rsid w:val="003D0DE0"/>
    <w:rsid w:val="003F0DDC"/>
    <w:rsid w:val="00455EC7"/>
    <w:rsid w:val="00490635"/>
    <w:rsid w:val="004E3283"/>
    <w:rsid w:val="005871B5"/>
    <w:rsid w:val="005C2383"/>
    <w:rsid w:val="005D77FD"/>
    <w:rsid w:val="0060144A"/>
    <w:rsid w:val="006228FB"/>
    <w:rsid w:val="00622B5E"/>
    <w:rsid w:val="00623068"/>
    <w:rsid w:val="007916DE"/>
    <w:rsid w:val="009D4F59"/>
    <w:rsid w:val="00A149AD"/>
    <w:rsid w:val="00A66D7C"/>
    <w:rsid w:val="00AD14FF"/>
    <w:rsid w:val="00BD5FDA"/>
    <w:rsid w:val="00C3133D"/>
    <w:rsid w:val="00C62FE5"/>
    <w:rsid w:val="00C82959"/>
    <w:rsid w:val="00C8421C"/>
    <w:rsid w:val="00C8490D"/>
    <w:rsid w:val="00C850E9"/>
    <w:rsid w:val="00CE6CD9"/>
    <w:rsid w:val="00DB755B"/>
    <w:rsid w:val="00DF757C"/>
    <w:rsid w:val="00E1764E"/>
    <w:rsid w:val="00E27EF7"/>
    <w:rsid w:val="00ED47A5"/>
    <w:rsid w:val="00EE4009"/>
    <w:rsid w:val="00F54418"/>
    <w:rsid w:val="00F7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8C07"/>
  <w15:chartTrackingRefBased/>
  <w15:docId w15:val="{519D0ED9-DCA6-4A06-B7C7-BBCB96E3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F5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4F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4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E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4.png"/><Relationship Id="rId18" Type="http://schemas.openxmlformats.org/officeDocument/2006/relationships/image" Target="media/image11.svg"/><Relationship Id="rId3" Type="http://schemas.openxmlformats.org/officeDocument/2006/relationships/styles" Target="styles.xml"/><Relationship Id="rId21" Type="http://schemas.openxmlformats.org/officeDocument/2006/relationships/hyperlink" Target="https://research.cuanschutz.edu/ogc/home/award-lifecycle/pre-award/resources-/nih-rppr-procedures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ucdenverdata.formstack.com/forms/ogc_proposal_continuation_form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hyperlink" Target="https://grants.nih.gov/grants/rppr/index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cdenverdata.formstack.com/forms/ogc_proposal_continuation_for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5.svg"/><Relationship Id="rId19" Type="http://schemas.openxmlformats.org/officeDocument/2006/relationships/hyperlink" Target="mailto:xenia@ucdenver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svg"/><Relationship Id="rId22" Type="http://schemas.openxmlformats.org/officeDocument/2006/relationships/hyperlink" Target="https://ucdenverdata.formstack.com/forms/ogc_proposal_continuation_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ABC0A-D30E-4E20-8C62-8B6A8718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Shane Jernigan</dc:creator>
  <cp:keywords/>
  <dc:description/>
  <cp:lastModifiedBy>Allen, Jessica</cp:lastModifiedBy>
  <cp:revision>2</cp:revision>
  <dcterms:created xsi:type="dcterms:W3CDTF">2021-06-08T23:06:00Z</dcterms:created>
  <dcterms:modified xsi:type="dcterms:W3CDTF">2021-06-08T23:06:00Z</dcterms:modified>
</cp:coreProperties>
</file>