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DDBB5" w14:textId="3EBB9662" w:rsidR="00BD5D95" w:rsidRPr="0052474A" w:rsidRDefault="00373F44" w:rsidP="00B509BE">
      <w:pPr>
        <w:pStyle w:val="Heading2"/>
        <w:rPr>
          <w:bCs/>
          <w:i w:val="0"/>
          <w:iCs w:val="0"/>
          <w:sz w:val="22"/>
          <w:szCs w:val="22"/>
        </w:rPr>
      </w:pPr>
      <w:r w:rsidRPr="0052474A">
        <w:rPr>
          <w:bCs/>
          <w:noProof/>
          <w:sz w:val="22"/>
          <w:szCs w:val="22"/>
        </w:rPr>
        <w:drawing>
          <wp:inline distT="0" distB="0" distL="0" distR="0" wp14:anchorId="3D851022" wp14:editId="34C8BCB9">
            <wp:extent cx="2124075" cy="333340"/>
            <wp:effectExtent l="0" t="0" r="0" b="0"/>
            <wp:docPr id="1856962678" name="Picture 1" descr="A close up of a wo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962678" name="Picture 1" descr="A close up of a word&#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2769" cy="334704"/>
                    </a:xfrm>
                    <a:prstGeom prst="rect">
                      <a:avLst/>
                    </a:prstGeom>
                    <a:noFill/>
                    <a:ln>
                      <a:noFill/>
                    </a:ln>
                  </pic:spPr>
                </pic:pic>
              </a:graphicData>
            </a:graphic>
          </wp:inline>
        </w:drawing>
      </w:r>
    </w:p>
    <w:p w14:paraId="4262B4F1" w14:textId="07292D57" w:rsidR="00C42C04" w:rsidRPr="0052474A" w:rsidRDefault="00C42C04" w:rsidP="0052474A">
      <w:pPr>
        <w:rPr>
          <w:bCs/>
          <w:sz w:val="22"/>
          <w:szCs w:val="22"/>
        </w:rPr>
      </w:pPr>
    </w:p>
    <w:tbl>
      <w:tblPr>
        <w:tblpPr w:leftFromText="187" w:rightFromText="187" w:vertAnchor="page" w:horzAnchor="page" w:tblpX="8363" w:tblpY="951"/>
        <w:tblOverlap w:val="never"/>
        <w:tblW w:w="0" w:type="auto"/>
        <w:tblLayout w:type="fixed"/>
        <w:tblCellMar>
          <w:left w:w="86" w:type="dxa"/>
          <w:bottom w:w="86" w:type="dxa"/>
          <w:right w:w="86" w:type="dxa"/>
        </w:tblCellMar>
        <w:tblLook w:val="00A0" w:firstRow="1" w:lastRow="0" w:firstColumn="1" w:lastColumn="0" w:noHBand="0" w:noVBand="0"/>
      </w:tblPr>
      <w:tblGrid>
        <w:gridCol w:w="382"/>
        <w:gridCol w:w="2375"/>
      </w:tblGrid>
      <w:tr w:rsidR="00C42C04" w:rsidRPr="001D7426" w14:paraId="0A23E651" w14:textId="77777777" w:rsidTr="00844FDE">
        <w:trPr>
          <w:trHeight w:val="186"/>
        </w:trPr>
        <w:tc>
          <w:tcPr>
            <w:tcW w:w="2757" w:type="dxa"/>
            <w:gridSpan w:val="2"/>
          </w:tcPr>
          <w:p w14:paraId="5FC455FE" w14:textId="77777777" w:rsidR="00C42C04" w:rsidRPr="006D77EE" w:rsidRDefault="00C42C04" w:rsidP="00844FDE">
            <w:pPr>
              <w:ind w:right="-86"/>
              <w:rPr>
                <w:rFonts w:ascii="Helvetica" w:hAnsi="Helvetica"/>
                <w:sz w:val="14"/>
              </w:rPr>
            </w:pPr>
            <w:r w:rsidRPr="006D77EE">
              <w:rPr>
                <w:rFonts w:ascii="Helvetica" w:hAnsi="Helvetica"/>
                <w:sz w:val="14"/>
              </w:rPr>
              <w:t>Office of Grants and Contracts</w:t>
            </w:r>
          </w:p>
        </w:tc>
      </w:tr>
      <w:tr w:rsidR="00C42C04" w:rsidRPr="001D7426" w14:paraId="325E95F5" w14:textId="77777777" w:rsidTr="00844FDE">
        <w:trPr>
          <w:trHeight w:val="180"/>
        </w:trPr>
        <w:tc>
          <w:tcPr>
            <w:tcW w:w="2757" w:type="dxa"/>
            <w:gridSpan w:val="2"/>
          </w:tcPr>
          <w:p w14:paraId="1E475A44" w14:textId="77777777" w:rsidR="00C42C04" w:rsidRPr="001D7426" w:rsidRDefault="00C42C04" w:rsidP="00844FDE">
            <w:pPr>
              <w:ind w:right="814"/>
              <w:rPr>
                <w:rFonts w:ascii="HelveticaNeueLT Std" w:hAnsi="HelveticaNeueLT Std"/>
                <w:sz w:val="14"/>
              </w:rPr>
            </w:pPr>
            <w:r>
              <w:rPr>
                <w:rFonts w:ascii="HelveticaNeueLT Std" w:hAnsi="HelveticaNeueLT Std"/>
                <w:sz w:val="14"/>
              </w:rPr>
              <w:t>Research Administration</w:t>
            </w:r>
          </w:p>
        </w:tc>
      </w:tr>
      <w:tr w:rsidR="00C42C04" w:rsidRPr="001D7426" w14:paraId="39D4D0A7" w14:textId="77777777" w:rsidTr="00844FDE">
        <w:trPr>
          <w:trHeight w:val="695"/>
        </w:trPr>
        <w:tc>
          <w:tcPr>
            <w:tcW w:w="2757" w:type="dxa"/>
            <w:gridSpan w:val="2"/>
          </w:tcPr>
          <w:p w14:paraId="71AB94C5" w14:textId="77777777" w:rsidR="00C42C04" w:rsidRDefault="00C42C04" w:rsidP="00844FDE">
            <w:pPr>
              <w:ind w:right="814"/>
              <w:rPr>
                <w:rFonts w:ascii="HelveticaNeueLT Std" w:hAnsi="HelveticaNeueLT Std"/>
                <w:sz w:val="14"/>
              </w:rPr>
            </w:pPr>
            <w:r>
              <w:rPr>
                <w:rFonts w:ascii="HelveticaNeueLT Std" w:hAnsi="HelveticaNeueLT Std"/>
                <w:sz w:val="14"/>
              </w:rPr>
              <w:t>Mail Stop F428</w:t>
            </w:r>
          </w:p>
          <w:p w14:paraId="5E772F51" w14:textId="77777777" w:rsidR="00C42C04" w:rsidRDefault="00C42C04" w:rsidP="00844FDE">
            <w:pPr>
              <w:ind w:right="814"/>
              <w:rPr>
                <w:rFonts w:ascii="HelveticaNeueLT Std" w:hAnsi="HelveticaNeueLT Std"/>
                <w:sz w:val="14"/>
              </w:rPr>
            </w:pPr>
            <w:r>
              <w:rPr>
                <w:rFonts w:ascii="HelveticaNeueLT Std" w:hAnsi="HelveticaNeueLT Std"/>
                <w:sz w:val="14"/>
              </w:rPr>
              <w:t>13001 East 17</w:t>
            </w:r>
            <w:r w:rsidRPr="009E0DD5">
              <w:rPr>
                <w:rFonts w:ascii="HelveticaNeueLT Std" w:hAnsi="HelveticaNeueLT Std"/>
                <w:sz w:val="14"/>
                <w:vertAlign w:val="superscript"/>
              </w:rPr>
              <w:t>th</w:t>
            </w:r>
            <w:r>
              <w:rPr>
                <w:rFonts w:ascii="HelveticaNeueLT Std" w:hAnsi="HelveticaNeueLT Std"/>
                <w:sz w:val="14"/>
              </w:rPr>
              <w:t xml:space="preserve"> Place</w:t>
            </w:r>
          </w:p>
          <w:p w14:paraId="1D5F2A0B" w14:textId="77777777" w:rsidR="00C42C04" w:rsidRDefault="00C42C04" w:rsidP="00844FDE">
            <w:pPr>
              <w:ind w:right="814"/>
              <w:rPr>
                <w:rFonts w:ascii="HelveticaNeueLT Std" w:hAnsi="HelveticaNeueLT Std"/>
                <w:sz w:val="14"/>
              </w:rPr>
            </w:pPr>
            <w:r>
              <w:rPr>
                <w:rFonts w:ascii="HelveticaNeueLT Std" w:hAnsi="HelveticaNeueLT Std"/>
                <w:sz w:val="14"/>
              </w:rPr>
              <w:t>Room W1126</w:t>
            </w:r>
          </w:p>
          <w:p w14:paraId="66DCA5E3" w14:textId="77777777" w:rsidR="00C42C04" w:rsidRPr="001D7426" w:rsidRDefault="00C42C04" w:rsidP="00844FDE">
            <w:pPr>
              <w:ind w:right="814"/>
              <w:rPr>
                <w:rFonts w:ascii="HelveticaNeueLT Std" w:hAnsi="HelveticaNeueLT Std"/>
                <w:sz w:val="14"/>
              </w:rPr>
            </w:pPr>
            <w:r>
              <w:rPr>
                <w:rFonts w:ascii="HelveticaNeueLT Std" w:hAnsi="HelveticaNeueLT Std"/>
                <w:sz w:val="14"/>
              </w:rPr>
              <w:t>Aurora, CO 80045</w:t>
            </w:r>
          </w:p>
        </w:tc>
      </w:tr>
      <w:tr w:rsidR="00C42C04" w:rsidRPr="001D7426" w14:paraId="79F1DBC5" w14:textId="77777777" w:rsidTr="00844FDE">
        <w:trPr>
          <w:trHeight w:val="198"/>
        </w:trPr>
        <w:tc>
          <w:tcPr>
            <w:tcW w:w="382" w:type="dxa"/>
            <w:tcMar>
              <w:bottom w:w="29" w:type="dxa"/>
            </w:tcMar>
          </w:tcPr>
          <w:p w14:paraId="345572AE" w14:textId="77777777" w:rsidR="00C42C04" w:rsidRPr="001D7426" w:rsidRDefault="00C42C04" w:rsidP="00844FDE">
            <w:pPr>
              <w:ind w:right="814"/>
              <w:rPr>
                <w:rFonts w:ascii="HelveticaNeueLT Std" w:hAnsi="HelveticaNeueLT Std"/>
                <w:b/>
                <w:sz w:val="14"/>
              </w:rPr>
            </w:pPr>
            <w:r w:rsidRPr="001D7426">
              <w:rPr>
                <w:rFonts w:ascii="HelveticaNeueLT Std" w:hAnsi="HelveticaNeueLT Std"/>
                <w:b/>
                <w:sz w:val="14"/>
              </w:rPr>
              <w:t>o</w:t>
            </w:r>
          </w:p>
        </w:tc>
        <w:tc>
          <w:tcPr>
            <w:tcW w:w="2375" w:type="dxa"/>
            <w:tcMar>
              <w:left w:w="43" w:type="dxa"/>
              <w:bottom w:w="29" w:type="dxa"/>
            </w:tcMar>
          </w:tcPr>
          <w:p w14:paraId="4D1D5926" w14:textId="77777777" w:rsidR="00C42C04" w:rsidRPr="001D7426" w:rsidRDefault="00C42C04" w:rsidP="00844FDE">
            <w:pPr>
              <w:ind w:right="814"/>
              <w:rPr>
                <w:rFonts w:ascii="HelveticaNeueLT Std" w:hAnsi="HelveticaNeueLT Std"/>
                <w:sz w:val="14"/>
              </w:rPr>
            </w:pPr>
            <w:r>
              <w:rPr>
                <w:rFonts w:ascii="HelveticaNeueLT Std" w:hAnsi="HelveticaNeueLT Std"/>
                <w:sz w:val="14"/>
              </w:rPr>
              <w:t>303-724-0090</w:t>
            </w:r>
          </w:p>
        </w:tc>
      </w:tr>
      <w:tr w:rsidR="00C42C04" w:rsidRPr="001D7426" w14:paraId="3D090984" w14:textId="77777777" w:rsidTr="00844FDE">
        <w:trPr>
          <w:trHeight w:val="186"/>
        </w:trPr>
        <w:tc>
          <w:tcPr>
            <w:tcW w:w="382" w:type="dxa"/>
            <w:tcMar>
              <w:bottom w:w="29" w:type="dxa"/>
            </w:tcMar>
          </w:tcPr>
          <w:p w14:paraId="4E891405" w14:textId="77777777" w:rsidR="00C42C04" w:rsidRPr="001D7426" w:rsidRDefault="00C42C04" w:rsidP="00844FDE">
            <w:pPr>
              <w:ind w:right="814"/>
              <w:rPr>
                <w:rFonts w:ascii="HelveticaNeueLT Std" w:hAnsi="HelveticaNeueLT Std"/>
                <w:b/>
                <w:sz w:val="14"/>
              </w:rPr>
            </w:pPr>
            <w:r w:rsidRPr="001D7426">
              <w:rPr>
                <w:rFonts w:ascii="HelveticaNeueLT Std" w:hAnsi="HelveticaNeueLT Std"/>
                <w:b/>
                <w:sz w:val="14"/>
              </w:rPr>
              <w:t>f</w:t>
            </w:r>
          </w:p>
        </w:tc>
        <w:tc>
          <w:tcPr>
            <w:tcW w:w="2375" w:type="dxa"/>
            <w:tcMar>
              <w:left w:w="43" w:type="dxa"/>
              <w:bottom w:w="29" w:type="dxa"/>
            </w:tcMar>
          </w:tcPr>
          <w:p w14:paraId="7BD1DC9A" w14:textId="77777777" w:rsidR="00C42C04" w:rsidRPr="001D7426" w:rsidRDefault="00C42C04" w:rsidP="00844FDE">
            <w:pPr>
              <w:ind w:right="814"/>
              <w:rPr>
                <w:rFonts w:ascii="HelveticaNeueLT Std" w:hAnsi="HelveticaNeueLT Std"/>
                <w:sz w:val="14"/>
              </w:rPr>
            </w:pPr>
            <w:r>
              <w:rPr>
                <w:rFonts w:ascii="HelveticaNeueLT Std" w:hAnsi="HelveticaNeueLT Std"/>
                <w:sz w:val="14"/>
              </w:rPr>
              <w:t>303-724-0814</w:t>
            </w:r>
          </w:p>
        </w:tc>
      </w:tr>
    </w:tbl>
    <w:p w14:paraId="7BB97AF7" w14:textId="5839F46C" w:rsidR="0052474A" w:rsidRPr="0052474A" w:rsidRDefault="0052474A" w:rsidP="0052474A">
      <w:pPr>
        <w:rPr>
          <w:bCs/>
          <w:sz w:val="22"/>
          <w:szCs w:val="22"/>
        </w:rPr>
      </w:pPr>
    </w:p>
    <w:p w14:paraId="15AF520A" w14:textId="77777777" w:rsidR="0052474A" w:rsidRPr="0052474A" w:rsidRDefault="0052474A" w:rsidP="0052474A">
      <w:pPr>
        <w:rPr>
          <w:bCs/>
          <w:sz w:val="22"/>
          <w:szCs w:val="22"/>
        </w:rPr>
      </w:pPr>
    </w:p>
    <w:p w14:paraId="3C9C382C" w14:textId="77777777" w:rsidR="0052474A" w:rsidRPr="0052474A" w:rsidRDefault="0052474A" w:rsidP="0052474A">
      <w:pPr>
        <w:spacing w:line="280" w:lineRule="exact"/>
        <w:rPr>
          <w:bCs/>
          <w:sz w:val="22"/>
          <w:szCs w:val="22"/>
        </w:rPr>
      </w:pPr>
    </w:p>
    <w:p w14:paraId="76297929" w14:textId="77777777" w:rsidR="00ED4031" w:rsidRDefault="00ED4031" w:rsidP="00B509BE">
      <w:pPr>
        <w:rPr>
          <w:bCs/>
          <w:sz w:val="22"/>
          <w:szCs w:val="22"/>
        </w:rPr>
      </w:pPr>
    </w:p>
    <w:p w14:paraId="50B1C445" w14:textId="77777777" w:rsidR="00373F44" w:rsidRDefault="00373F44" w:rsidP="00B509BE">
      <w:pPr>
        <w:rPr>
          <w:bCs/>
          <w:sz w:val="22"/>
          <w:szCs w:val="22"/>
        </w:rPr>
      </w:pPr>
    </w:p>
    <w:p w14:paraId="618D8120" w14:textId="08412A3B" w:rsidR="00373F44" w:rsidRDefault="00373F44" w:rsidP="00373F44">
      <w:pPr>
        <w:ind w:left="-540" w:right="814" w:firstLine="540"/>
      </w:pPr>
      <w:r>
        <w:t>February 18, 2026</w:t>
      </w:r>
    </w:p>
    <w:p w14:paraId="0C9F9041" w14:textId="77777777" w:rsidR="00373F44" w:rsidRPr="00EC5E47" w:rsidRDefault="00373F44" w:rsidP="00373F44">
      <w:pPr>
        <w:ind w:left="-540" w:right="814"/>
        <w:rPr>
          <w:b/>
        </w:rPr>
      </w:pPr>
    </w:p>
    <w:p w14:paraId="606DC91B" w14:textId="77777777" w:rsidR="00373F44" w:rsidRPr="00EC5E47" w:rsidRDefault="00373F44" w:rsidP="00373F44"/>
    <w:p w14:paraId="6EC8F330" w14:textId="77777777" w:rsidR="00373F44" w:rsidRPr="00373F44" w:rsidRDefault="00373F44" w:rsidP="00373F44">
      <w:pPr>
        <w:pStyle w:val="Heading1"/>
        <w:ind w:right="814"/>
        <w:rPr>
          <w:color w:val="FF0000"/>
          <w:sz w:val="24"/>
        </w:rPr>
      </w:pPr>
      <w:r w:rsidRPr="00373F44">
        <w:rPr>
          <w:color w:val="FF0000"/>
          <w:sz w:val="24"/>
        </w:rPr>
        <w:t>Re: State of Colorado Statewide Single Audit-Fiscal Year Ending June 30, 2025</w:t>
      </w:r>
    </w:p>
    <w:p w14:paraId="2E26653C" w14:textId="77777777" w:rsidR="00373F44" w:rsidRPr="00DD1B4B" w:rsidRDefault="00373F44" w:rsidP="00373F44">
      <w:pPr>
        <w:ind w:right="814"/>
      </w:pPr>
    </w:p>
    <w:p w14:paraId="12067EC0" w14:textId="77777777" w:rsidR="00373F44" w:rsidRPr="00DD1B4B" w:rsidRDefault="00373F44" w:rsidP="00373F44">
      <w:pPr>
        <w:ind w:right="814"/>
      </w:pPr>
      <w:r w:rsidRPr="00DD1B4B">
        <w:t>To Whom It May Concern:</w:t>
      </w:r>
    </w:p>
    <w:p w14:paraId="1E3937F6" w14:textId="77777777" w:rsidR="00373F44" w:rsidRPr="00DD1B4B" w:rsidRDefault="00373F44" w:rsidP="00373F44">
      <w:pPr>
        <w:ind w:right="1253"/>
      </w:pPr>
      <w:r w:rsidRPr="00DD1B4B">
        <w:t xml:space="preserve">     </w:t>
      </w:r>
    </w:p>
    <w:p w14:paraId="1424924A" w14:textId="7BE627E3" w:rsidR="00373F44" w:rsidRPr="00DD1B4B" w:rsidRDefault="00373F44" w:rsidP="00373F44">
      <w:pPr>
        <w:ind w:right="1253"/>
      </w:pPr>
      <w:r w:rsidRPr="00DD1B4B">
        <w:t xml:space="preserve">The OMB </w:t>
      </w:r>
      <w:r>
        <w:t>Uniform Guidance</w:t>
      </w:r>
      <w:r w:rsidRPr="00DD1B4B">
        <w:t xml:space="preserve"> </w:t>
      </w:r>
      <w:r>
        <w:t xml:space="preserve">2 CFR 200, </w:t>
      </w:r>
      <w:r w:rsidRPr="00DD1B4B">
        <w:t xml:space="preserve">annual audit of the University of Colorado Denver </w:t>
      </w:r>
      <w:r>
        <w:t xml:space="preserve">Anschutz </w:t>
      </w:r>
      <w:r w:rsidRPr="00DD1B4B">
        <w:t>for the fiscal year ending June 30, 202</w:t>
      </w:r>
      <w:r>
        <w:t xml:space="preserve">5, </w:t>
      </w:r>
      <w:r w:rsidRPr="00DD1B4B">
        <w:t>has been completed. The University of Colorado Denver</w:t>
      </w:r>
      <w:r>
        <w:t xml:space="preserve"> Anschutz </w:t>
      </w:r>
      <w:r w:rsidRPr="00DD1B4B">
        <w:t>is one of several universities within the State of Colorado system and was therefore included in the Colorado Statewide Single Audit.</w:t>
      </w:r>
    </w:p>
    <w:p w14:paraId="5A0CE404" w14:textId="77777777" w:rsidR="00373F44" w:rsidRPr="00DD1B4B" w:rsidRDefault="00373F44" w:rsidP="00373F44">
      <w:pPr>
        <w:ind w:right="1253"/>
      </w:pPr>
    </w:p>
    <w:p w14:paraId="3B946411" w14:textId="46CB6F49" w:rsidR="00373F44" w:rsidRPr="00DD1B4B" w:rsidRDefault="00373F44" w:rsidP="00373F44">
      <w:pPr>
        <w:ind w:right="1253"/>
      </w:pPr>
      <w:r w:rsidRPr="00DD1B4B">
        <w:t xml:space="preserve">To Comply with OMB </w:t>
      </w:r>
      <w:r>
        <w:t>Uniform Guidance, Subpart F,</w:t>
      </w:r>
      <w:r w:rsidRPr="00DD1B4B">
        <w:t xml:space="preserve"> </w:t>
      </w:r>
      <w:r>
        <w:t>Audit</w:t>
      </w:r>
      <w:r w:rsidRPr="00DD1B4B">
        <w:t xml:space="preserve"> requirements, we are notifying you</w:t>
      </w:r>
      <w:r w:rsidRPr="008B6FE0">
        <w:t>r institution, as a pass-through entity, that there were no findings or instances of noncompliance with federal laws or regulations related to federal pass-through awards provided to University of Colorado Denver Anschutz.</w:t>
      </w:r>
    </w:p>
    <w:p w14:paraId="46CFA842" w14:textId="77777777" w:rsidR="00373F44" w:rsidRPr="00DD1B4B" w:rsidRDefault="00373F44" w:rsidP="00373F44">
      <w:pPr>
        <w:ind w:right="1253"/>
      </w:pPr>
    </w:p>
    <w:p w14:paraId="2776BBC7" w14:textId="2E532521" w:rsidR="00373F44" w:rsidRDefault="00373F44" w:rsidP="00373F44">
      <w:pPr>
        <w:ind w:right="1253"/>
      </w:pPr>
      <w:r w:rsidRPr="00DD1B4B">
        <w:t>To review the audit report for FY 20</w:t>
      </w:r>
      <w:r>
        <w:t>25</w:t>
      </w:r>
      <w:r w:rsidRPr="00DD1B4B">
        <w:t xml:space="preserve"> please visit </w:t>
      </w:r>
      <w:r>
        <w:t xml:space="preserve">the Colorado State website: </w:t>
      </w:r>
      <w:hyperlink r:id="rId11" w:history="1">
        <w:r w:rsidRPr="00ED28D1">
          <w:rPr>
            <w:color w:val="0000FF"/>
            <w:u w:val="single"/>
          </w:rPr>
          <w:t>Statewide Single Audit, Fiscal Year Ended June 30, 2025 | Colorado General Assembly</w:t>
        </w:r>
      </w:hyperlink>
      <w:r>
        <w:t xml:space="preserve"> University of Colorado Denver Anschutz can be found in section II-37 as being under the Department of Higher Education, there were no findings for federal awards specific to University of Colorado Denver Anschutz awards, therefore there is not an additional expanded section under findings.</w:t>
      </w:r>
    </w:p>
    <w:p w14:paraId="110E85EE" w14:textId="77777777" w:rsidR="00373F44" w:rsidRDefault="00373F44" w:rsidP="00373F44">
      <w:pPr>
        <w:ind w:right="1253"/>
      </w:pPr>
    </w:p>
    <w:p w14:paraId="7534BD9F" w14:textId="057F1958" w:rsidR="00373F44" w:rsidRPr="00DD1B4B" w:rsidRDefault="00373F44" w:rsidP="00373F44">
      <w:pPr>
        <w:ind w:right="1253"/>
      </w:pPr>
      <w:r w:rsidRPr="00DD1B4B">
        <w:t>If you have any questions or concerns relating to this audit, please feel fr</w:t>
      </w:r>
      <w:r>
        <w:t xml:space="preserve">ee to contact </w:t>
      </w:r>
      <w:hyperlink r:id="rId12" w:history="1">
        <w:r w:rsidR="00AF067E" w:rsidRPr="00BA7CFA">
          <w:rPr>
            <w:rStyle w:val="Hyperlink"/>
          </w:rPr>
          <w:t>Ginger.Acierno@cuanschutz.edu</w:t>
        </w:r>
      </w:hyperlink>
      <w:r w:rsidR="00AF067E">
        <w:t xml:space="preserve">. </w:t>
      </w:r>
    </w:p>
    <w:p w14:paraId="035B6584" w14:textId="77777777" w:rsidR="00373F44" w:rsidRPr="00DD1B4B" w:rsidRDefault="00373F44" w:rsidP="00373F44">
      <w:pPr>
        <w:ind w:right="814"/>
      </w:pPr>
    </w:p>
    <w:p w14:paraId="64522A07" w14:textId="77777777" w:rsidR="00373F44" w:rsidRPr="00DD1B4B" w:rsidRDefault="00373F44" w:rsidP="00373F44">
      <w:pPr>
        <w:ind w:right="814"/>
      </w:pPr>
      <w:r w:rsidRPr="00DD1B4B">
        <w:t>Sincerely,</w:t>
      </w:r>
    </w:p>
    <w:p w14:paraId="3F234DC6" w14:textId="77777777" w:rsidR="00373F44" w:rsidRPr="00DD1B4B" w:rsidRDefault="00373F44" w:rsidP="00373F44">
      <w:pPr>
        <w:ind w:right="814"/>
      </w:pPr>
    </w:p>
    <w:p w14:paraId="486B68BD" w14:textId="77777777" w:rsidR="00373F44" w:rsidRPr="00DD1B4B" w:rsidRDefault="00373F44" w:rsidP="00373F44">
      <w:pPr>
        <w:ind w:right="814"/>
      </w:pPr>
      <w:r w:rsidRPr="00DD1B4B">
        <w:t>Ginger Acierno</w:t>
      </w:r>
    </w:p>
    <w:p w14:paraId="7AB3DF61" w14:textId="1B93CE3E" w:rsidR="00373F44" w:rsidRPr="00373F44" w:rsidRDefault="00373F44" w:rsidP="00373F44">
      <w:pPr>
        <w:ind w:right="814"/>
      </w:pPr>
      <w:r>
        <w:t>Director – Sponsored Projects Financial Services</w:t>
      </w:r>
      <w:r w:rsidRPr="00DD1B4B">
        <w:t xml:space="preserve"> </w:t>
      </w:r>
    </w:p>
    <w:sectPr w:rsidR="00373F44" w:rsidRPr="00373F44" w:rsidSect="00373F44">
      <w:pgSz w:w="12240" w:h="15840"/>
      <w:pgMar w:top="1440" w:right="1080" w:bottom="1440" w:left="1080" w:header="144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7EC24" w14:textId="77777777" w:rsidR="00FC02A7" w:rsidRDefault="00FC02A7">
      <w:r>
        <w:separator/>
      </w:r>
    </w:p>
  </w:endnote>
  <w:endnote w:type="continuationSeparator" w:id="0">
    <w:p w14:paraId="6CE292B1" w14:textId="77777777" w:rsidR="00FC02A7" w:rsidRDefault="00FC0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NeueLT Std">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1C705" w14:textId="77777777" w:rsidR="00FC02A7" w:rsidRDefault="00FC02A7">
      <w:r>
        <w:separator/>
      </w:r>
    </w:p>
  </w:footnote>
  <w:footnote w:type="continuationSeparator" w:id="0">
    <w:p w14:paraId="3FCB42E9" w14:textId="77777777" w:rsidR="00FC02A7" w:rsidRDefault="00FC0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CE247E"/>
    <w:multiLevelType w:val="hybridMultilevel"/>
    <w:tmpl w:val="E60C0CB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83605B"/>
    <w:multiLevelType w:val="hybridMultilevel"/>
    <w:tmpl w:val="6D68B902"/>
    <w:lvl w:ilvl="0" w:tplc="A640981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C25784"/>
    <w:multiLevelType w:val="hybridMultilevel"/>
    <w:tmpl w:val="E5164044"/>
    <w:lvl w:ilvl="0" w:tplc="E946A24C">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9F901D5"/>
    <w:multiLevelType w:val="hybridMultilevel"/>
    <w:tmpl w:val="E182BD54"/>
    <w:lvl w:ilvl="0" w:tplc="4E46326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1601DE8"/>
    <w:multiLevelType w:val="hybridMultilevel"/>
    <w:tmpl w:val="5BC627DE"/>
    <w:lvl w:ilvl="0" w:tplc="E946A2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EA40E11"/>
    <w:multiLevelType w:val="hybridMultilevel"/>
    <w:tmpl w:val="1B02A10A"/>
    <w:lvl w:ilvl="0" w:tplc="ECC4DB50">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1634E6D"/>
    <w:multiLevelType w:val="hybridMultilevel"/>
    <w:tmpl w:val="57EEAAC0"/>
    <w:lvl w:ilvl="0" w:tplc="6DC8EB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3434085">
    <w:abstractNumId w:val="2"/>
  </w:num>
  <w:num w:numId="2" w16cid:durableId="1755709971">
    <w:abstractNumId w:val="6"/>
  </w:num>
  <w:num w:numId="3" w16cid:durableId="1062757345">
    <w:abstractNumId w:val="4"/>
  </w:num>
  <w:num w:numId="4" w16cid:durableId="393552669">
    <w:abstractNumId w:val="0"/>
  </w:num>
  <w:num w:numId="5" w16cid:durableId="1584609145">
    <w:abstractNumId w:val="1"/>
  </w:num>
  <w:num w:numId="6" w16cid:durableId="1882210724">
    <w:abstractNumId w:val="5"/>
  </w:num>
  <w:num w:numId="7" w16cid:durableId="408499946">
    <w:abstractNumId w:val="3"/>
  </w:num>
  <w:num w:numId="8" w16cid:durableId="11467048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F09"/>
    <w:rsid w:val="00000D07"/>
    <w:rsid w:val="00030819"/>
    <w:rsid w:val="00046933"/>
    <w:rsid w:val="00090EC3"/>
    <w:rsid w:val="0009236B"/>
    <w:rsid w:val="0009374D"/>
    <w:rsid w:val="000A0531"/>
    <w:rsid w:val="000D0DDC"/>
    <w:rsid w:val="001112C5"/>
    <w:rsid w:val="0013351F"/>
    <w:rsid w:val="00151FF3"/>
    <w:rsid w:val="001528E6"/>
    <w:rsid w:val="00170C9D"/>
    <w:rsid w:val="00175A4E"/>
    <w:rsid w:val="001B0EEF"/>
    <w:rsid w:val="001B215E"/>
    <w:rsid w:val="001F7BF0"/>
    <w:rsid w:val="00233ABF"/>
    <w:rsid w:val="00233B8A"/>
    <w:rsid w:val="00261A12"/>
    <w:rsid w:val="00263AE5"/>
    <w:rsid w:val="0027149C"/>
    <w:rsid w:val="002754E8"/>
    <w:rsid w:val="002816F7"/>
    <w:rsid w:val="002C51F2"/>
    <w:rsid w:val="002D7ECE"/>
    <w:rsid w:val="002F5F83"/>
    <w:rsid w:val="003038EE"/>
    <w:rsid w:val="00331101"/>
    <w:rsid w:val="00343899"/>
    <w:rsid w:val="00346B34"/>
    <w:rsid w:val="003730C1"/>
    <w:rsid w:val="00373F44"/>
    <w:rsid w:val="0037401D"/>
    <w:rsid w:val="0038475E"/>
    <w:rsid w:val="003913D7"/>
    <w:rsid w:val="003A5AA9"/>
    <w:rsid w:val="003B3DDB"/>
    <w:rsid w:val="003D4B74"/>
    <w:rsid w:val="003E476E"/>
    <w:rsid w:val="00410499"/>
    <w:rsid w:val="0042431A"/>
    <w:rsid w:val="00427938"/>
    <w:rsid w:val="0043411B"/>
    <w:rsid w:val="0048302C"/>
    <w:rsid w:val="004A234C"/>
    <w:rsid w:val="004B0E8E"/>
    <w:rsid w:val="004F0421"/>
    <w:rsid w:val="0052474A"/>
    <w:rsid w:val="005476CB"/>
    <w:rsid w:val="005501D0"/>
    <w:rsid w:val="00551EE6"/>
    <w:rsid w:val="00560405"/>
    <w:rsid w:val="00560F09"/>
    <w:rsid w:val="00570F20"/>
    <w:rsid w:val="00595021"/>
    <w:rsid w:val="00595A76"/>
    <w:rsid w:val="005A0C27"/>
    <w:rsid w:val="005B0604"/>
    <w:rsid w:val="005C3932"/>
    <w:rsid w:val="005D6459"/>
    <w:rsid w:val="00664A3C"/>
    <w:rsid w:val="00665D68"/>
    <w:rsid w:val="00677195"/>
    <w:rsid w:val="006A3488"/>
    <w:rsid w:val="006B3AC0"/>
    <w:rsid w:val="006B47BF"/>
    <w:rsid w:val="006D2987"/>
    <w:rsid w:val="006D3CB6"/>
    <w:rsid w:val="007124E0"/>
    <w:rsid w:val="00716BFD"/>
    <w:rsid w:val="00721571"/>
    <w:rsid w:val="007466CF"/>
    <w:rsid w:val="007A36EA"/>
    <w:rsid w:val="007A688B"/>
    <w:rsid w:val="007D2907"/>
    <w:rsid w:val="008010F8"/>
    <w:rsid w:val="0083500A"/>
    <w:rsid w:val="00861DED"/>
    <w:rsid w:val="00862124"/>
    <w:rsid w:val="00863197"/>
    <w:rsid w:val="008652B5"/>
    <w:rsid w:val="008952F6"/>
    <w:rsid w:val="008A0AD2"/>
    <w:rsid w:val="008B785D"/>
    <w:rsid w:val="008C39B2"/>
    <w:rsid w:val="008D0876"/>
    <w:rsid w:val="008D0FC0"/>
    <w:rsid w:val="0091284A"/>
    <w:rsid w:val="0093191F"/>
    <w:rsid w:val="00940E60"/>
    <w:rsid w:val="009533ED"/>
    <w:rsid w:val="0095492E"/>
    <w:rsid w:val="009557C7"/>
    <w:rsid w:val="00961E53"/>
    <w:rsid w:val="00984F87"/>
    <w:rsid w:val="00996768"/>
    <w:rsid w:val="009A028E"/>
    <w:rsid w:val="009D2BE6"/>
    <w:rsid w:val="009D64B6"/>
    <w:rsid w:val="009E070D"/>
    <w:rsid w:val="009F4384"/>
    <w:rsid w:val="00A16BE9"/>
    <w:rsid w:val="00A533BB"/>
    <w:rsid w:val="00A655A9"/>
    <w:rsid w:val="00A67A9B"/>
    <w:rsid w:val="00A86E6B"/>
    <w:rsid w:val="00A91A53"/>
    <w:rsid w:val="00A97F63"/>
    <w:rsid w:val="00AB1D97"/>
    <w:rsid w:val="00AB3C99"/>
    <w:rsid w:val="00AC4BD5"/>
    <w:rsid w:val="00AD05F8"/>
    <w:rsid w:val="00AF067E"/>
    <w:rsid w:val="00B12F63"/>
    <w:rsid w:val="00B13C30"/>
    <w:rsid w:val="00B14478"/>
    <w:rsid w:val="00B1672C"/>
    <w:rsid w:val="00B23677"/>
    <w:rsid w:val="00B26EFA"/>
    <w:rsid w:val="00B509BE"/>
    <w:rsid w:val="00B50CAB"/>
    <w:rsid w:val="00B7297A"/>
    <w:rsid w:val="00BA5C3B"/>
    <w:rsid w:val="00BA7E33"/>
    <w:rsid w:val="00BB59E6"/>
    <w:rsid w:val="00BD5D95"/>
    <w:rsid w:val="00BF1F5A"/>
    <w:rsid w:val="00BF4D10"/>
    <w:rsid w:val="00C05A35"/>
    <w:rsid w:val="00C24529"/>
    <w:rsid w:val="00C40B5B"/>
    <w:rsid w:val="00C42C04"/>
    <w:rsid w:val="00C62BA5"/>
    <w:rsid w:val="00C8169A"/>
    <w:rsid w:val="00C822D2"/>
    <w:rsid w:val="00C86895"/>
    <w:rsid w:val="00CC5488"/>
    <w:rsid w:val="00CC5FD1"/>
    <w:rsid w:val="00CF1678"/>
    <w:rsid w:val="00D0299D"/>
    <w:rsid w:val="00D40555"/>
    <w:rsid w:val="00D42391"/>
    <w:rsid w:val="00D46EA4"/>
    <w:rsid w:val="00D5606E"/>
    <w:rsid w:val="00D56555"/>
    <w:rsid w:val="00D65155"/>
    <w:rsid w:val="00D77704"/>
    <w:rsid w:val="00DA1C09"/>
    <w:rsid w:val="00DE73B5"/>
    <w:rsid w:val="00E4198A"/>
    <w:rsid w:val="00E85064"/>
    <w:rsid w:val="00EB4AC2"/>
    <w:rsid w:val="00EC2473"/>
    <w:rsid w:val="00ED0EA7"/>
    <w:rsid w:val="00ED3A02"/>
    <w:rsid w:val="00ED4031"/>
    <w:rsid w:val="00ED5AB0"/>
    <w:rsid w:val="00EF112D"/>
    <w:rsid w:val="00F469A8"/>
    <w:rsid w:val="00F547C2"/>
    <w:rsid w:val="00FA08E5"/>
    <w:rsid w:val="00FA3569"/>
    <w:rsid w:val="00FA3DF9"/>
    <w:rsid w:val="00FC02A7"/>
    <w:rsid w:val="00FC568E"/>
    <w:rsid w:val="00FD52A3"/>
    <w:rsid w:val="00FD5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FB5E2A"/>
  <w15:docId w15:val="{36FAB614-236E-40DD-BDBF-254342FA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b/>
      <w:bCs/>
      <w:i/>
      <w:iCs/>
      <w:sz w:val="22"/>
    </w:rPr>
  </w:style>
  <w:style w:type="paragraph" w:styleId="Heading2">
    <w:name w:val="heading 2"/>
    <w:basedOn w:val="Normal"/>
    <w:next w:val="Normal"/>
    <w:qFormat/>
    <w:pPr>
      <w:keepNext/>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pPr>
      <w:tabs>
        <w:tab w:val="left" w:pos="720"/>
      </w:tabs>
      <w:spacing w:line="240" w:lineRule="atLeast"/>
      <w:jc w:val="both"/>
    </w:pPr>
  </w:style>
  <w:style w:type="paragraph" w:customStyle="1" w:styleId="t1">
    <w:name w:val="t1"/>
    <w:basedOn w:val="Normal"/>
    <w:pPr>
      <w:spacing w:line="240" w:lineRule="atLeast"/>
    </w:pPr>
  </w:style>
  <w:style w:type="paragraph" w:customStyle="1" w:styleId="t2">
    <w:name w:val="t2"/>
    <w:basedOn w:val="Normal"/>
    <w:pPr>
      <w:spacing w:line="240" w:lineRule="atLeast"/>
    </w:pPr>
  </w:style>
  <w:style w:type="paragraph" w:customStyle="1" w:styleId="p3">
    <w:name w:val="p3"/>
    <w:basedOn w:val="Normal"/>
    <w:pPr>
      <w:tabs>
        <w:tab w:val="left" w:pos="720"/>
      </w:tabs>
      <w:spacing w:line="280" w:lineRule="atLeast"/>
    </w:pPr>
  </w:style>
  <w:style w:type="paragraph" w:customStyle="1" w:styleId="p4">
    <w:name w:val="p4"/>
    <w:basedOn w:val="Normal"/>
    <w:pPr>
      <w:tabs>
        <w:tab w:val="left" w:pos="780"/>
      </w:tabs>
      <w:spacing w:line="280" w:lineRule="atLeast"/>
      <w:ind w:left="660"/>
    </w:pPr>
  </w:style>
  <w:style w:type="paragraph" w:customStyle="1" w:styleId="p5">
    <w:name w:val="p5"/>
    <w:basedOn w:val="Normal"/>
    <w:pPr>
      <w:tabs>
        <w:tab w:val="left" w:pos="1500"/>
      </w:tabs>
      <w:spacing w:line="280" w:lineRule="atLeast"/>
      <w:ind w:hanging="720"/>
    </w:pPr>
  </w:style>
  <w:style w:type="paragraph" w:customStyle="1" w:styleId="p6">
    <w:name w:val="p6"/>
    <w:basedOn w:val="Normal"/>
    <w:pPr>
      <w:tabs>
        <w:tab w:val="left" w:pos="1500"/>
        <w:tab w:val="left" w:pos="2020"/>
      </w:tabs>
      <w:spacing w:line="280" w:lineRule="atLeast"/>
      <w:ind w:left="576" w:hanging="576"/>
    </w:pPr>
  </w:style>
  <w:style w:type="paragraph" w:customStyle="1" w:styleId="p7">
    <w:name w:val="p7"/>
    <w:basedOn w:val="Normal"/>
    <w:pPr>
      <w:tabs>
        <w:tab w:val="left" w:pos="2020"/>
      </w:tabs>
      <w:spacing w:line="280" w:lineRule="atLeast"/>
      <w:ind w:left="580"/>
    </w:pPr>
  </w:style>
  <w:style w:type="paragraph" w:customStyle="1" w:styleId="p8">
    <w:name w:val="p8"/>
    <w:basedOn w:val="Normal"/>
    <w:pPr>
      <w:tabs>
        <w:tab w:val="left" w:pos="560"/>
      </w:tabs>
      <w:spacing w:line="240" w:lineRule="atLeast"/>
      <w:ind w:left="880"/>
    </w:pPr>
  </w:style>
  <w:style w:type="paragraph" w:customStyle="1" w:styleId="p9">
    <w:name w:val="p9"/>
    <w:basedOn w:val="Normal"/>
    <w:pPr>
      <w:tabs>
        <w:tab w:val="left" w:pos="780"/>
        <w:tab w:val="left" w:pos="1120"/>
      </w:tabs>
      <w:spacing w:line="280" w:lineRule="atLeast"/>
      <w:ind w:left="288" w:hanging="432"/>
    </w:pPr>
  </w:style>
  <w:style w:type="paragraph" w:customStyle="1" w:styleId="t10">
    <w:name w:val="t10"/>
    <w:basedOn w:val="Normal"/>
    <w:pPr>
      <w:spacing w:line="240" w:lineRule="atLeast"/>
    </w:pPr>
  </w:style>
  <w:style w:type="paragraph" w:customStyle="1" w:styleId="c11">
    <w:name w:val="c11"/>
    <w:basedOn w:val="Normal"/>
    <w:pPr>
      <w:spacing w:line="240" w:lineRule="atLeast"/>
      <w:jc w:val="center"/>
    </w:pPr>
  </w:style>
  <w:style w:type="paragraph" w:customStyle="1" w:styleId="p12">
    <w:name w:val="p12"/>
    <w:basedOn w:val="Normal"/>
    <w:pPr>
      <w:spacing w:line="240" w:lineRule="atLeast"/>
      <w:ind w:left="320"/>
    </w:pPr>
  </w:style>
  <w:style w:type="paragraph" w:customStyle="1" w:styleId="p13">
    <w:name w:val="p13"/>
    <w:basedOn w:val="Normal"/>
    <w:pPr>
      <w:tabs>
        <w:tab w:val="left" w:pos="1220"/>
      </w:tabs>
      <w:spacing w:line="280" w:lineRule="atLeast"/>
      <w:ind w:left="288" w:hanging="1152"/>
    </w:pPr>
  </w:style>
  <w:style w:type="paragraph" w:customStyle="1" w:styleId="p14">
    <w:name w:val="p14"/>
    <w:basedOn w:val="Normal"/>
    <w:pPr>
      <w:spacing w:line="240" w:lineRule="atLeast"/>
      <w:ind w:left="720" w:hanging="720"/>
    </w:pPr>
  </w:style>
  <w:style w:type="paragraph" w:customStyle="1" w:styleId="p15">
    <w:name w:val="p15"/>
    <w:basedOn w:val="Normal"/>
    <w:pPr>
      <w:spacing w:line="240" w:lineRule="atLeast"/>
      <w:ind w:left="720" w:hanging="720"/>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80"/>
      </w:tabs>
      <w:spacing w:line="280" w:lineRule="exact"/>
    </w:pPr>
    <w:rPr>
      <w:i/>
      <w:iCs/>
    </w:rPr>
  </w:style>
  <w:style w:type="paragraph" w:customStyle="1" w:styleId="Default">
    <w:name w:val="Default"/>
    <w:rsid w:val="00D65155"/>
    <w:pPr>
      <w:autoSpaceDE w:val="0"/>
      <w:autoSpaceDN w:val="0"/>
      <w:adjustRightInd w:val="0"/>
    </w:pPr>
    <w:rPr>
      <w:color w:val="000000"/>
      <w:sz w:val="24"/>
      <w:szCs w:val="24"/>
    </w:rPr>
  </w:style>
  <w:style w:type="paragraph" w:styleId="BodyTextIndent">
    <w:name w:val="Body Text Indent"/>
    <w:basedOn w:val="Normal"/>
    <w:rsid w:val="00E85064"/>
    <w:pPr>
      <w:spacing w:after="120"/>
      <w:ind w:left="360"/>
    </w:pPr>
  </w:style>
  <w:style w:type="character" w:styleId="Hyperlink">
    <w:name w:val="Hyperlink"/>
    <w:rsid w:val="00E85064"/>
    <w:rPr>
      <w:color w:val="0000FF"/>
      <w:u w:val="single"/>
    </w:rPr>
  </w:style>
  <w:style w:type="character" w:customStyle="1" w:styleId="EmailStyle39">
    <w:name w:val="EmailStyle39"/>
    <w:semiHidden/>
    <w:rsid w:val="00FC568E"/>
    <w:rPr>
      <w:rFonts w:ascii="Arial" w:hAnsi="Arial" w:cs="Arial"/>
      <w:color w:val="auto"/>
      <w:sz w:val="20"/>
      <w:szCs w:val="20"/>
    </w:rPr>
  </w:style>
  <w:style w:type="paragraph" w:customStyle="1" w:styleId="default0">
    <w:name w:val="default"/>
    <w:basedOn w:val="Normal"/>
    <w:rsid w:val="004A234C"/>
    <w:pPr>
      <w:widowControl/>
      <w:autoSpaceDE w:val="0"/>
      <w:autoSpaceDN w:val="0"/>
    </w:pPr>
    <w:rPr>
      <w:rFonts w:eastAsia="Calibri"/>
      <w:snapToGrid/>
      <w:color w:val="000000"/>
      <w:szCs w:val="24"/>
    </w:rPr>
  </w:style>
  <w:style w:type="paragraph" w:styleId="BalloonText">
    <w:name w:val="Balloon Text"/>
    <w:basedOn w:val="Normal"/>
    <w:link w:val="BalloonTextChar"/>
    <w:rsid w:val="00595A76"/>
    <w:rPr>
      <w:rFonts w:ascii="Tahoma" w:hAnsi="Tahoma" w:cs="Tahoma"/>
      <w:sz w:val="16"/>
      <w:szCs w:val="16"/>
    </w:rPr>
  </w:style>
  <w:style w:type="character" w:customStyle="1" w:styleId="BalloonTextChar">
    <w:name w:val="Balloon Text Char"/>
    <w:basedOn w:val="DefaultParagraphFont"/>
    <w:link w:val="BalloonText"/>
    <w:rsid w:val="00595A76"/>
    <w:rPr>
      <w:rFonts w:ascii="Tahoma" w:hAnsi="Tahoma" w:cs="Tahoma"/>
      <w:snapToGrid w:val="0"/>
      <w:sz w:val="16"/>
      <w:szCs w:val="16"/>
    </w:rPr>
  </w:style>
  <w:style w:type="paragraph" w:styleId="ListParagraph">
    <w:name w:val="List Paragraph"/>
    <w:basedOn w:val="Normal"/>
    <w:uiPriority w:val="34"/>
    <w:qFormat/>
    <w:rsid w:val="00E4198A"/>
    <w:pPr>
      <w:ind w:left="720"/>
      <w:contextualSpacing/>
    </w:pPr>
  </w:style>
  <w:style w:type="character" w:styleId="FollowedHyperlink">
    <w:name w:val="FollowedHyperlink"/>
    <w:basedOn w:val="DefaultParagraphFont"/>
    <w:semiHidden/>
    <w:unhideWhenUsed/>
    <w:rsid w:val="008952F6"/>
    <w:rPr>
      <w:color w:val="800080" w:themeColor="followedHyperlink"/>
      <w:u w:val="single"/>
    </w:rPr>
  </w:style>
  <w:style w:type="character" w:styleId="UnresolvedMention">
    <w:name w:val="Unresolved Mention"/>
    <w:basedOn w:val="DefaultParagraphFont"/>
    <w:uiPriority w:val="99"/>
    <w:semiHidden/>
    <w:unhideWhenUsed/>
    <w:rsid w:val="00D423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2098">
      <w:bodyDiv w:val="1"/>
      <w:marLeft w:val="0"/>
      <w:marRight w:val="0"/>
      <w:marTop w:val="0"/>
      <w:marBottom w:val="0"/>
      <w:divBdr>
        <w:top w:val="none" w:sz="0" w:space="0" w:color="auto"/>
        <w:left w:val="none" w:sz="0" w:space="0" w:color="auto"/>
        <w:bottom w:val="none" w:sz="0" w:space="0" w:color="auto"/>
        <w:right w:val="none" w:sz="0" w:space="0" w:color="auto"/>
      </w:divBdr>
    </w:div>
    <w:div w:id="55200301">
      <w:bodyDiv w:val="1"/>
      <w:marLeft w:val="0"/>
      <w:marRight w:val="0"/>
      <w:marTop w:val="0"/>
      <w:marBottom w:val="0"/>
      <w:divBdr>
        <w:top w:val="none" w:sz="0" w:space="0" w:color="auto"/>
        <w:left w:val="none" w:sz="0" w:space="0" w:color="auto"/>
        <w:bottom w:val="none" w:sz="0" w:space="0" w:color="auto"/>
        <w:right w:val="none" w:sz="0" w:space="0" w:color="auto"/>
      </w:divBdr>
    </w:div>
    <w:div w:id="185800970">
      <w:bodyDiv w:val="1"/>
      <w:marLeft w:val="0"/>
      <w:marRight w:val="0"/>
      <w:marTop w:val="0"/>
      <w:marBottom w:val="0"/>
      <w:divBdr>
        <w:top w:val="none" w:sz="0" w:space="0" w:color="auto"/>
        <w:left w:val="none" w:sz="0" w:space="0" w:color="auto"/>
        <w:bottom w:val="none" w:sz="0" w:space="0" w:color="auto"/>
        <w:right w:val="none" w:sz="0" w:space="0" w:color="auto"/>
      </w:divBdr>
    </w:div>
    <w:div w:id="503938921">
      <w:bodyDiv w:val="1"/>
      <w:marLeft w:val="0"/>
      <w:marRight w:val="0"/>
      <w:marTop w:val="0"/>
      <w:marBottom w:val="0"/>
      <w:divBdr>
        <w:top w:val="none" w:sz="0" w:space="0" w:color="auto"/>
        <w:left w:val="none" w:sz="0" w:space="0" w:color="auto"/>
        <w:bottom w:val="none" w:sz="0" w:space="0" w:color="auto"/>
        <w:right w:val="none" w:sz="0" w:space="0" w:color="auto"/>
      </w:divBdr>
    </w:div>
    <w:div w:id="703411905">
      <w:bodyDiv w:val="1"/>
      <w:marLeft w:val="0"/>
      <w:marRight w:val="0"/>
      <w:marTop w:val="0"/>
      <w:marBottom w:val="0"/>
      <w:divBdr>
        <w:top w:val="none" w:sz="0" w:space="0" w:color="auto"/>
        <w:left w:val="none" w:sz="0" w:space="0" w:color="auto"/>
        <w:bottom w:val="none" w:sz="0" w:space="0" w:color="auto"/>
        <w:right w:val="none" w:sz="0" w:space="0" w:color="auto"/>
      </w:divBdr>
    </w:div>
    <w:div w:id="1209414338">
      <w:bodyDiv w:val="1"/>
      <w:marLeft w:val="0"/>
      <w:marRight w:val="0"/>
      <w:marTop w:val="0"/>
      <w:marBottom w:val="0"/>
      <w:divBdr>
        <w:top w:val="none" w:sz="0" w:space="0" w:color="auto"/>
        <w:left w:val="none" w:sz="0" w:space="0" w:color="auto"/>
        <w:bottom w:val="none" w:sz="0" w:space="0" w:color="auto"/>
        <w:right w:val="none" w:sz="0" w:space="0" w:color="auto"/>
      </w:divBdr>
    </w:div>
    <w:div w:id="1712338791">
      <w:bodyDiv w:val="1"/>
      <w:marLeft w:val="0"/>
      <w:marRight w:val="0"/>
      <w:marTop w:val="0"/>
      <w:marBottom w:val="0"/>
      <w:divBdr>
        <w:top w:val="none" w:sz="0" w:space="0" w:color="auto"/>
        <w:left w:val="none" w:sz="0" w:space="0" w:color="auto"/>
        <w:bottom w:val="none" w:sz="0" w:space="0" w:color="auto"/>
        <w:right w:val="none" w:sz="0" w:space="0" w:color="auto"/>
      </w:divBdr>
    </w:div>
    <w:div w:id="19356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inger.Acierno@cuanschutz.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ntent.leg.colorado.gov/content/statewide-single-audit-fiscal-year-ended-june-30-2025"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DE832412BAFA44A1357F3EF8FA7BA8" ma:contentTypeVersion="5" ma:contentTypeDescription="Create a new document." ma:contentTypeScope="" ma:versionID="1d85bdfa6e197c45199ff3866d7bb14a">
  <xsd:schema xmlns:xsd="http://www.w3.org/2001/XMLSchema" xmlns:xs="http://www.w3.org/2001/XMLSchema" xmlns:p="http://schemas.microsoft.com/office/2006/metadata/properties" targetNamespace="http://schemas.microsoft.com/office/2006/metadata/properties" ma:root="true" ma:fieldsID="02cadebf900d6218fa79a7c5608def9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2FD172-2D58-4253-944C-5A466CEE68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F3F7C5-8E77-4ABD-9D05-D68A3780A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53FE319-CA49-4BFB-83F0-6EEAF4B52E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1327</Characters>
  <Application>Microsoft Office Word</Application>
  <DocSecurity>0</DocSecurity>
  <Lines>48</Lines>
  <Paragraphs>20</Paragraphs>
  <ScaleCrop>false</ScaleCrop>
  <HeadingPairs>
    <vt:vector size="2" baseType="variant">
      <vt:variant>
        <vt:lpstr>Title</vt:lpstr>
      </vt:variant>
      <vt:variant>
        <vt:i4>1</vt:i4>
      </vt:variant>
    </vt:vector>
  </HeadingPairs>
  <TitlesOfParts>
    <vt:vector size="1" baseType="lpstr">
      <vt:lpstr>March 12, 1998</vt:lpstr>
    </vt:vector>
  </TitlesOfParts>
  <Company>UCHSC</Company>
  <LinksUpToDate>false</LinksUpToDate>
  <CharactersWithSpaces>1553</CharactersWithSpaces>
  <SharedDoc>false</SharedDoc>
  <HLinks>
    <vt:vector size="24" baseType="variant">
      <vt:variant>
        <vt:i4>2424959</vt:i4>
      </vt:variant>
      <vt:variant>
        <vt:i4>9</vt:i4>
      </vt:variant>
      <vt:variant>
        <vt:i4>0</vt:i4>
      </vt:variant>
      <vt:variant>
        <vt:i4>5</vt:i4>
      </vt:variant>
      <vt:variant>
        <vt:lpwstr>http://hr.colorado.edu/lr/Pages/DisputeResolution.aspx</vt:lpwstr>
      </vt:variant>
      <vt:variant>
        <vt:lpwstr/>
      </vt:variant>
      <vt:variant>
        <vt:i4>6750266</vt:i4>
      </vt:variant>
      <vt:variant>
        <vt:i4>6</vt:i4>
      </vt:variant>
      <vt:variant>
        <vt:i4>0</vt:i4>
      </vt:variant>
      <vt:variant>
        <vt:i4>5</vt:i4>
      </vt:variant>
      <vt:variant>
        <vt:lpwstr>https://www.cu.edu/policies/aps/finance/F_Fiscal-Code-of-Ethics_Officer.pdf</vt:lpwstr>
      </vt:variant>
      <vt:variant>
        <vt:lpwstr/>
      </vt:variant>
      <vt:variant>
        <vt:i4>1245188</vt:i4>
      </vt:variant>
      <vt:variant>
        <vt:i4>3</vt:i4>
      </vt:variant>
      <vt:variant>
        <vt:i4>0</vt:i4>
      </vt:variant>
      <vt:variant>
        <vt:i4>5</vt:i4>
      </vt:variant>
      <vt:variant>
        <vt:lpwstr>https://www.cu.edu/policies/aps/finance/4016.pdf</vt:lpwstr>
      </vt:variant>
      <vt:variant>
        <vt:lpwstr/>
      </vt:variant>
      <vt:variant>
        <vt:i4>1114116</vt:i4>
      </vt:variant>
      <vt:variant>
        <vt:i4>0</vt:i4>
      </vt:variant>
      <vt:variant>
        <vt:i4>0</vt:i4>
      </vt:variant>
      <vt:variant>
        <vt:i4>5</vt:i4>
      </vt:variant>
      <vt:variant>
        <vt:lpwstr>https://www.cu.edu/policies/aps/finance/4014.pdf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12, 1998</dc:title>
  <dc:creator>Joyce Cheatham</dc:creator>
  <cp:lastModifiedBy>Kenney, Sara</cp:lastModifiedBy>
  <cp:revision>3</cp:revision>
  <cp:lastPrinted>2009-09-17T19:06:00Z</cp:lastPrinted>
  <dcterms:created xsi:type="dcterms:W3CDTF">2026-02-20T16:35:00Z</dcterms:created>
  <dcterms:modified xsi:type="dcterms:W3CDTF">2026-02-20T16:35:00Z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0x010100D3DE832412BAFA44A1357F3EF8FA7BA8</vt:lpwstr>
  </property>
  <property fmtid="{D5CDD505-2E9C-101B-9397-08002B2CF9AE}" pid="3" name="GrammarlyDocumentId">
    <vt:lpwstr>579a338a2a490a4623a3be3502f0bf8d94ee66e72e65078b42b117698aeb01cb</vt:lpwstr>
  </property>
</Properties>
</file>