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4C0B" w14:textId="77777777" w:rsidR="005E7838" w:rsidRPr="005E7838" w:rsidRDefault="005E7838" w:rsidP="005E7838"/>
    <w:p w14:paraId="75D3A783" w14:textId="77777777" w:rsidR="00447424" w:rsidRPr="00C209AD" w:rsidRDefault="00447424" w:rsidP="002F0C32">
      <w:pPr>
        <w:spacing w:after="0" w:line="360" w:lineRule="auto"/>
        <w:rPr>
          <w:b/>
          <w:bCs/>
          <w:noProof/>
          <w:u w:val="single"/>
        </w:rPr>
      </w:pPr>
      <w:r w:rsidRPr="00C209AD">
        <w:rPr>
          <w:b/>
          <w:bCs/>
          <w:noProof/>
          <w:u w:val="single"/>
        </w:rPr>
        <w:t xml:space="preserve">Resources about  “The </w:t>
      </w:r>
      <w:r w:rsidR="006E77A7" w:rsidRPr="00C209AD">
        <w:rPr>
          <w:b/>
          <w:bCs/>
          <w:noProof/>
          <w:u w:val="single"/>
        </w:rPr>
        <w:t>Rule Makers</w:t>
      </w:r>
      <w:r w:rsidRPr="00C209AD">
        <w:rPr>
          <w:b/>
          <w:bCs/>
          <w:noProof/>
          <w:u w:val="single"/>
        </w:rPr>
        <w:t>”</w:t>
      </w:r>
    </w:p>
    <w:p w14:paraId="31B271FF" w14:textId="64383BAE" w:rsidR="00447424" w:rsidRPr="009F5CB2" w:rsidRDefault="00447424" w:rsidP="002F0C32">
      <w:pPr>
        <w:pStyle w:val="ListParagraph"/>
        <w:numPr>
          <w:ilvl w:val="0"/>
          <w:numId w:val="1"/>
        </w:numPr>
        <w:spacing w:after="0" w:line="360" w:lineRule="auto"/>
        <w:rPr>
          <w:noProof/>
        </w:rPr>
      </w:pPr>
      <w:r>
        <w:rPr>
          <w:noProof/>
        </w:rPr>
        <w:t>Federal Regulations</w:t>
      </w:r>
      <w:r w:rsidR="006E77A7">
        <w:rPr>
          <w:noProof/>
        </w:rPr>
        <w:t xml:space="preserve"> </w:t>
      </w:r>
      <w:r>
        <w:rPr>
          <w:noProof/>
        </w:rPr>
        <w:t>- 45 CFR</w:t>
      </w:r>
      <w:r w:rsidR="00295282">
        <w:rPr>
          <w:noProof/>
        </w:rPr>
        <w:t xml:space="preserve"> </w:t>
      </w:r>
      <w:r>
        <w:rPr>
          <w:noProof/>
        </w:rPr>
        <w:t xml:space="preserve">46.116 (HHS) or 21 CFR 50 (FDA) </w:t>
      </w:r>
      <w:r w:rsidR="00C209AD" w:rsidRPr="009F5CB2">
        <w:rPr>
          <w:noProof/>
          <w:color w:val="4472C4" w:themeColor="accent1"/>
        </w:rPr>
        <w:t xml:space="preserve">Click: </w:t>
      </w:r>
      <w:hyperlink r:id="rId7" w:history="1">
        <w:r w:rsidR="00C209AD" w:rsidRPr="009F5CB2">
          <w:rPr>
            <w:rStyle w:val="Hyperlink"/>
            <w:noProof/>
            <w:color w:val="4472C4" w:themeColor="accent1"/>
          </w:rPr>
          <w:t>HERE</w:t>
        </w:r>
      </w:hyperlink>
      <w:r w:rsidR="009F5CB2" w:rsidRPr="009F5CB2">
        <w:rPr>
          <w:noProof/>
          <w:color w:val="4472C4" w:themeColor="accent1"/>
        </w:rPr>
        <w:t xml:space="preserve"> to access federal regulations</w:t>
      </w:r>
      <w:r w:rsidR="00CD3979">
        <w:rPr>
          <w:noProof/>
          <w:color w:val="4472C4" w:themeColor="accent1"/>
        </w:rPr>
        <w:t xml:space="preserve">. </w:t>
      </w:r>
    </w:p>
    <w:p w14:paraId="522F1882" w14:textId="48699232" w:rsidR="00447424" w:rsidRDefault="00447424" w:rsidP="002F0C32">
      <w:pPr>
        <w:pStyle w:val="ListParagraph"/>
        <w:numPr>
          <w:ilvl w:val="1"/>
          <w:numId w:val="1"/>
        </w:numPr>
        <w:spacing w:after="0" w:line="360" w:lineRule="auto"/>
        <w:rPr>
          <w:noProof/>
        </w:rPr>
      </w:pPr>
      <w:r>
        <w:rPr>
          <w:noProof/>
        </w:rPr>
        <w:t xml:space="preserve">General requirements </w:t>
      </w:r>
      <w:r w:rsidR="002F0C32">
        <w:rPr>
          <w:noProof/>
        </w:rPr>
        <w:t xml:space="preserve">and 8 required elements </w:t>
      </w:r>
      <w:r w:rsidR="001C7622">
        <w:rPr>
          <w:noProof/>
        </w:rPr>
        <w:t>f</w:t>
      </w:r>
      <w:r>
        <w:rPr>
          <w:noProof/>
        </w:rPr>
        <w:t>or informed consent</w:t>
      </w:r>
      <w:r w:rsidR="001C7622">
        <w:rPr>
          <w:noProof/>
        </w:rPr>
        <w:t xml:space="preserve">. </w:t>
      </w:r>
      <w:r w:rsidR="002F0C32" w:rsidRPr="001C7622">
        <w:rPr>
          <w:noProof/>
          <w:color w:val="2E74B5" w:themeColor="accent5" w:themeShade="BF"/>
        </w:rPr>
        <w:t xml:space="preserve">Click </w:t>
      </w:r>
      <w:hyperlink r:id="rId8" w:history="1">
        <w:r w:rsidR="002F0C32" w:rsidRPr="001C7622">
          <w:rPr>
            <w:rStyle w:val="Hyperlink"/>
            <w:noProof/>
            <w:color w:val="034990" w:themeColor="hyperlink" w:themeShade="BF"/>
          </w:rPr>
          <w:t>HERE</w:t>
        </w:r>
      </w:hyperlink>
      <w:r w:rsidR="002F0C32" w:rsidRPr="001C7622">
        <w:rPr>
          <w:noProof/>
          <w:color w:val="2E74B5" w:themeColor="accent5" w:themeShade="BF"/>
        </w:rPr>
        <w:t xml:space="preserve">  to see </w:t>
      </w:r>
      <w:r w:rsidR="001C7622">
        <w:rPr>
          <w:noProof/>
          <w:color w:val="2E74B5" w:themeColor="accent5" w:themeShade="BF"/>
        </w:rPr>
        <w:t xml:space="preserve">basic elements of consent, and 8 required elements. </w:t>
      </w:r>
    </w:p>
    <w:p w14:paraId="308D655A" w14:textId="7EA93B85" w:rsidR="00447424" w:rsidRDefault="00447424" w:rsidP="002F0C32">
      <w:pPr>
        <w:pStyle w:val="ListParagraph"/>
        <w:numPr>
          <w:ilvl w:val="1"/>
          <w:numId w:val="1"/>
        </w:numPr>
        <w:spacing w:after="0" w:line="360" w:lineRule="auto"/>
        <w:rPr>
          <w:noProof/>
        </w:rPr>
      </w:pPr>
      <w:r>
        <w:rPr>
          <w:noProof/>
        </w:rPr>
        <w:t xml:space="preserve">Clinical Trials.gov requirement </w:t>
      </w:r>
      <w:r w:rsidR="00CD3979">
        <w:rPr>
          <w:noProof/>
        </w:rPr>
        <w:t xml:space="preserve">(See attached document from COMIRB) </w:t>
      </w:r>
    </w:p>
    <w:p w14:paraId="4279E52F" w14:textId="498FAF9A" w:rsidR="00447424" w:rsidRDefault="00447424" w:rsidP="002F0C32">
      <w:pPr>
        <w:pStyle w:val="ListParagraph"/>
        <w:numPr>
          <w:ilvl w:val="1"/>
          <w:numId w:val="1"/>
        </w:numPr>
        <w:spacing w:after="0" w:line="360" w:lineRule="auto"/>
        <w:rPr>
          <w:noProof/>
        </w:rPr>
      </w:pPr>
      <w:r>
        <w:rPr>
          <w:noProof/>
        </w:rPr>
        <w:t xml:space="preserve">Special Considerations (Vulnerable Populations) </w:t>
      </w:r>
    </w:p>
    <w:p w14:paraId="28507FD0" w14:textId="49576EF8" w:rsidR="00447424" w:rsidRDefault="00447424" w:rsidP="002F0C32">
      <w:pPr>
        <w:pStyle w:val="ListParagraph"/>
        <w:numPr>
          <w:ilvl w:val="2"/>
          <w:numId w:val="1"/>
        </w:numPr>
        <w:spacing w:after="0" w:line="360" w:lineRule="auto"/>
        <w:rPr>
          <w:noProof/>
        </w:rPr>
      </w:pPr>
      <w:r>
        <w:rPr>
          <w:noProof/>
        </w:rPr>
        <w:t>Pregnant Women, Fetus and Neonates Subpart B</w:t>
      </w:r>
      <w:r w:rsidR="00CD3979">
        <w:rPr>
          <w:noProof/>
        </w:rPr>
        <w:t xml:space="preserve">. </w:t>
      </w:r>
      <w:r w:rsidR="00CD3979" w:rsidRPr="00CD3979">
        <w:rPr>
          <w:noProof/>
          <w:color w:val="2E74B5" w:themeColor="accent5" w:themeShade="BF"/>
        </w:rPr>
        <w:t>Click</w:t>
      </w:r>
      <w:r w:rsidR="00CD3979">
        <w:rPr>
          <w:noProof/>
          <w:color w:val="2E74B5" w:themeColor="accent5" w:themeShade="BF"/>
        </w:rPr>
        <w:t xml:space="preserve"> </w:t>
      </w:r>
      <w:hyperlink r:id="rId9" w:anchor="sp45.1.46.b" w:history="1">
        <w:r w:rsidR="00CD3979" w:rsidRPr="00CD3979">
          <w:rPr>
            <w:rStyle w:val="Hyperlink"/>
            <w:noProof/>
            <w:color w:val="034990" w:themeColor="hyperlink" w:themeShade="BF"/>
          </w:rPr>
          <w:t>HERE</w:t>
        </w:r>
      </w:hyperlink>
      <w:r w:rsidR="00CD3979" w:rsidRPr="00CD3979">
        <w:rPr>
          <w:noProof/>
          <w:color w:val="2E74B5" w:themeColor="accent5" w:themeShade="BF"/>
        </w:rPr>
        <w:t xml:space="preserve">  for regulation </w:t>
      </w:r>
      <w:r w:rsidRPr="00CD3979">
        <w:rPr>
          <w:noProof/>
          <w:color w:val="2E74B5" w:themeColor="accent5" w:themeShade="BF"/>
        </w:rPr>
        <w:t xml:space="preserve"> </w:t>
      </w:r>
    </w:p>
    <w:p w14:paraId="73D20178" w14:textId="5E11A529" w:rsidR="00447424" w:rsidRPr="00515055" w:rsidRDefault="00447424" w:rsidP="002F0C32">
      <w:pPr>
        <w:pStyle w:val="ListParagraph"/>
        <w:numPr>
          <w:ilvl w:val="2"/>
          <w:numId w:val="1"/>
        </w:numPr>
        <w:spacing w:after="0" w:line="360" w:lineRule="auto"/>
        <w:rPr>
          <w:noProof/>
          <w:color w:val="4472C4" w:themeColor="accent1"/>
        </w:rPr>
      </w:pPr>
      <w:r>
        <w:rPr>
          <w:noProof/>
        </w:rPr>
        <w:t xml:space="preserve">Prisoners – Subpart </w:t>
      </w:r>
      <w:r w:rsidR="00BA5766">
        <w:rPr>
          <w:noProof/>
        </w:rPr>
        <w:t xml:space="preserve">C </w:t>
      </w:r>
      <w:r w:rsidR="00BA5766">
        <w:rPr>
          <w:noProof/>
          <w:color w:val="4472C4" w:themeColor="accent1"/>
        </w:rPr>
        <w:t>Cl</w:t>
      </w:r>
      <w:r w:rsidR="00515055" w:rsidRPr="00515055">
        <w:rPr>
          <w:noProof/>
          <w:color w:val="4472C4" w:themeColor="accent1"/>
        </w:rPr>
        <w:t>ick</w:t>
      </w:r>
      <w:r w:rsidR="00515055">
        <w:rPr>
          <w:noProof/>
        </w:rPr>
        <w:t xml:space="preserve"> </w:t>
      </w:r>
      <w:hyperlink r:id="rId10" w:history="1">
        <w:r w:rsidR="00515055" w:rsidRPr="00515055">
          <w:rPr>
            <w:rStyle w:val="Hyperlink"/>
            <w:noProof/>
          </w:rPr>
          <w:t>HERE</w:t>
        </w:r>
      </w:hyperlink>
      <w:r w:rsidR="00515055">
        <w:rPr>
          <w:noProof/>
        </w:rPr>
        <w:t xml:space="preserve"> </w:t>
      </w:r>
      <w:r w:rsidR="00515055" w:rsidRPr="00515055">
        <w:rPr>
          <w:noProof/>
          <w:color w:val="4472C4" w:themeColor="accent1"/>
        </w:rPr>
        <w:t xml:space="preserve">to assess </w:t>
      </w:r>
      <w:r w:rsidR="00CD3979">
        <w:rPr>
          <w:noProof/>
          <w:color w:val="4472C4" w:themeColor="accent1"/>
        </w:rPr>
        <w:t xml:space="preserve">COMIRB </w:t>
      </w:r>
      <w:r w:rsidR="00515055" w:rsidRPr="00515055">
        <w:rPr>
          <w:noProof/>
          <w:color w:val="4472C4" w:themeColor="accent1"/>
        </w:rPr>
        <w:t>policy regarding prisoners</w:t>
      </w:r>
      <w:r w:rsidR="00BA5766">
        <w:rPr>
          <w:noProof/>
          <w:color w:val="4472C4" w:themeColor="accent1"/>
        </w:rPr>
        <w:t xml:space="preserve"> in research</w:t>
      </w:r>
    </w:p>
    <w:p w14:paraId="4D8A41BF" w14:textId="2AC71A4D" w:rsidR="00930CDA" w:rsidRDefault="00447424" w:rsidP="002F0C32">
      <w:pPr>
        <w:pStyle w:val="ListParagraph"/>
        <w:numPr>
          <w:ilvl w:val="2"/>
          <w:numId w:val="1"/>
        </w:numPr>
        <w:spacing w:after="0" w:line="360" w:lineRule="auto"/>
        <w:rPr>
          <w:noProof/>
        </w:rPr>
      </w:pPr>
      <w:r>
        <w:rPr>
          <w:noProof/>
        </w:rPr>
        <w:t xml:space="preserve">Children – Subpart D </w:t>
      </w:r>
      <w:r w:rsidR="00CD3979" w:rsidRPr="00CD3979">
        <w:rPr>
          <w:noProof/>
          <w:color w:val="2E74B5" w:themeColor="accent5" w:themeShade="BF"/>
        </w:rPr>
        <w:t xml:space="preserve">Click </w:t>
      </w:r>
      <w:hyperlink r:id="rId11" w:anchor="sp45.1.46.d" w:history="1">
        <w:r w:rsidR="00CD3979" w:rsidRPr="00CD3979">
          <w:rPr>
            <w:rStyle w:val="Hyperlink"/>
            <w:noProof/>
            <w:color w:val="034990" w:themeColor="hyperlink" w:themeShade="BF"/>
          </w:rPr>
          <w:t>HERE</w:t>
        </w:r>
      </w:hyperlink>
      <w:r w:rsidR="001B51D4">
        <w:rPr>
          <w:rStyle w:val="Hyperlink"/>
          <w:noProof/>
          <w:color w:val="034990" w:themeColor="hyperlink" w:themeShade="BF"/>
        </w:rPr>
        <w:t xml:space="preserve"> </w:t>
      </w:r>
      <w:r w:rsidR="00CD3979" w:rsidRPr="00CD3979">
        <w:rPr>
          <w:noProof/>
          <w:color w:val="2E74B5" w:themeColor="accent5" w:themeShade="BF"/>
        </w:rPr>
        <w:t>here for Subpart D.</w:t>
      </w:r>
      <w:r w:rsidR="00CD3979">
        <w:rPr>
          <w:noProof/>
        </w:rPr>
        <w:t xml:space="preserve"> </w:t>
      </w:r>
      <w:r w:rsidR="00515055">
        <w:rPr>
          <w:noProof/>
        </w:rPr>
        <w:t xml:space="preserve">  </w:t>
      </w:r>
      <w:r w:rsidR="00515055" w:rsidRPr="00930CDA">
        <w:rPr>
          <w:noProof/>
          <w:color w:val="2E74B5" w:themeColor="accent5" w:themeShade="BF"/>
        </w:rPr>
        <w:t xml:space="preserve">Click  </w:t>
      </w:r>
      <w:hyperlink r:id="rId12" w:history="1">
        <w:r w:rsidR="00515055" w:rsidRPr="00515055">
          <w:rPr>
            <w:rStyle w:val="Hyperlink"/>
            <w:noProof/>
          </w:rPr>
          <w:t>HERE</w:t>
        </w:r>
      </w:hyperlink>
      <w:r w:rsidR="00515055">
        <w:rPr>
          <w:noProof/>
        </w:rPr>
        <w:t xml:space="preserve"> </w:t>
      </w:r>
      <w:r w:rsidR="00515055" w:rsidRPr="00930CDA">
        <w:rPr>
          <w:noProof/>
          <w:color w:val="2E74B5" w:themeColor="accent5" w:themeShade="BF"/>
        </w:rPr>
        <w:t>to assess</w:t>
      </w:r>
      <w:r w:rsidR="00CD3979">
        <w:rPr>
          <w:noProof/>
          <w:color w:val="2E74B5" w:themeColor="accent5" w:themeShade="BF"/>
        </w:rPr>
        <w:t xml:space="preserve"> COMIRB </w:t>
      </w:r>
      <w:r w:rsidR="00515055" w:rsidRPr="00930CDA">
        <w:rPr>
          <w:noProof/>
          <w:color w:val="2E74B5" w:themeColor="accent5" w:themeShade="BF"/>
        </w:rPr>
        <w:t xml:space="preserve">new policies on children </w:t>
      </w:r>
      <w:r w:rsidR="00BA5766" w:rsidRPr="00930CDA">
        <w:rPr>
          <w:noProof/>
          <w:color w:val="2E74B5" w:themeColor="accent5" w:themeShade="BF"/>
        </w:rPr>
        <w:t>in research</w:t>
      </w:r>
      <w:r w:rsidR="00930CDA" w:rsidRPr="00930CDA">
        <w:rPr>
          <w:noProof/>
          <w:color w:val="2E74B5" w:themeColor="accent5" w:themeShade="BF"/>
        </w:rPr>
        <w:t xml:space="preserve"> </w:t>
      </w:r>
      <w:r w:rsidR="00930CDA">
        <w:rPr>
          <w:noProof/>
          <w:color w:val="2E74B5" w:themeColor="accent5" w:themeShade="BF"/>
        </w:rPr>
        <w:t xml:space="preserve">and Click </w:t>
      </w:r>
      <w:hyperlink r:id="rId13" w:history="1">
        <w:r w:rsidR="00930CDA" w:rsidRPr="00930CDA">
          <w:rPr>
            <w:rStyle w:val="Hyperlink"/>
            <w:noProof/>
            <w:color w:val="034990" w:themeColor="hyperlink" w:themeShade="BF"/>
          </w:rPr>
          <w:t>HERE</w:t>
        </w:r>
      </w:hyperlink>
      <w:r w:rsidR="00930CDA">
        <w:rPr>
          <w:noProof/>
          <w:color w:val="2E74B5" w:themeColor="accent5" w:themeShade="BF"/>
        </w:rPr>
        <w:t xml:space="preserve">  for COMIRB summary table about children involved in research</w:t>
      </w:r>
    </w:p>
    <w:p w14:paraId="297E4849" w14:textId="2FAEAFCA" w:rsidR="00447424" w:rsidRDefault="00C209AD" w:rsidP="002F0C32">
      <w:pPr>
        <w:pStyle w:val="ListParagraph"/>
        <w:numPr>
          <w:ilvl w:val="0"/>
          <w:numId w:val="1"/>
        </w:numPr>
        <w:spacing w:after="0" w:line="360" w:lineRule="auto"/>
        <w:rPr>
          <w:noProof/>
        </w:rPr>
      </w:pPr>
      <w:r>
        <w:rPr>
          <w:noProof/>
        </w:rPr>
        <w:t>Institutional Policies and Procedures</w:t>
      </w:r>
    </w:p>
    <w:p w14:paraId="05788890" w14:textId="10CAB7BC" w:rsidR="00C209AD" w:rsidRDefault="00C209AD" w:rsidP="002F0C32">
      <w:pPr>
        <w:pStyle w:val="ListParagraph"/>
        <w:numPr>
          <w:ilvl w:val="1"/>
          <w:numId w:val="1"/>
        </w:numPr>
        <w:spacing w:after="0" w:line="360" w:lineRule="auto"/>
        <w:rPr>
          <w:noProof/>
        </w:rPr>
      </w:pPr>
      <w:r>
        <w:rPr>
          <w:noProof/>
        </w:rPr>
        <w:t xml:space="preserve">COMIRB Policies and Procedures </w:t>
      </w:r>
      <w:r w:rsidR="009F5CB2">
        <w:rPr>
          <w:noProof/>
        </w:rPr>
        <w:t xml:space="preserve"> </w:t>
      </w:r>
      <w:r w:rsidR="009F5CB2" w:rsidRPr="009F5CB2">
        <w:rPr>
          <w:noProof/>
          <w:color w:val="4472C4" w:themeColor="accent1"/>
        </w:rPr>
        <w:t xml:space="preserve">Click </w:t>
      </w:r>
      <w:hyperlink r:id="rId14" w:history="1">
        <w:r w:rsidR="008B6AF6" w:rsidRPr="008B6AF6">
          <w:rPr>
            <w:rStyle w:val="Hyperlink"/>
            <w:noProof/>
          </w:rPr>
          <w:t>HERE</w:t>
        </w:r>
      </w:hyperlink>
      <w:r w:rsidR="000A0BAE">
        <w:rPr>
          <w:rStyle w:val="Hyperlink"/>
          <w:noProof/>
        </w:rPr>
        <w:t xml:space="preserve"> </w:t>
      </w:r>
      <w:r w:rsidR="009F5CB2" w:rsidRPr="009F5CB2">
        <w:rPr>
          <w:noProof/>
          <w:color w:val="4472C4" w:themeColor="accent1"/>
        </w:rPr>
        <w:t xml:space="preserve">to access COMIRB </w:t>
      </w:r>
      <w:r w:rsidR="008B6AF6">
        <w:rPr>
          <w:noProof/>
          <w:color w:val="4472C4" w:themeColor="accent1"/>
        </w:rPr>
        <w:t>Policies and Procedures which are searchable by word or topic.</w:t>
      </w:r>
    </w:p>
    <w:p w14:paraId="3A4E4567" w14:textId="1C7489EA" w:rsidR="00447424" w:rsidRPr="009F5CB2" w:rsidRDefault="00C209AD" w:rsidP="002F0C32">
      <w:pPr>
        <w:pStyle w:val="ListParagraph"/>
        <w:numPr>
          <w:ilvl w:val="1"/>
          <w:numId w:val="1"/>
        </w:numPr>
        <w:spacing w:after="0" w:line="360" w:lineRule="auto"/>
        <w:rPr>
          <w:noProof/>
          <w:color w:val="4472C4" w:themeColor="accent1"/>
        </w:rPr>
      </w:pPr>
      <w:r>
        <w:rPr>
          <w:noProof/>
        </w:rPr>
        <w:t xml:space="preserve">UCHealth Research Administration </w:t>
      </w:r>
      <w:r w:rsidR="009F5CB2">
        <w:rPr>
          <w:noProof/>
        </w:rPr>
        <w:t xml:space="preserve"> </w:t>
      </w:r>
      <w:r w:rsidR="009F5CB2" w:rsidRPr="009F5CB2">
        <w:rPr>
          <w:noProof/>
          <w:color w:val="4472C4" w:themeColor="accent1"/>
        </w:rPr>
        <w:t xml:space="preserve">Click </w:t>
      </w:r>
      <w:hyperlink r:id="rId15" w:history="1">
        <w:r w:rsidR="00CD3979" w:rsidRPr="00CD3979">
          <w:rPr>
            <w:rStyle w:val="Hyperlink"/>
            <w:noProof/>
          </w:rPr>
          <w:t>HERE</w:t>
        </w:r>
      </w:hyperlink>
      <w:r w:rsidR="009F5CB2" w:rsidRPr="009F5CB2">
        <w:rPr>
          <w:noProof/>
          <w:color w:val="4472C4" w:themeColor="accent1"/>
        </w:rPr>
        <w:t xml:space="preserve">   to access “The Source” – login required </w:t>
      </w:r>
    </w:p>
    <w:p w14:paraId="74DF0656" w14:textId="5658AA18" w:rsidR="006E77A7" w:rsidRDefault="00C209AD" w:rsidP="002F0C32">
      <w:pPr>
        <w:pStyle w:val="ListParagraph"/>
        <w:numPr>
          <w:ilvl w:val="1"/>
          <w:numId w:val="1"/>
        </w:numPr>
        <w:spacing w:after="0" w:line="360" w:lineRule="auto"/>
        <w:rPr>
          <w:noProof/>
        </w:rPr>
      </w:pPr>
      <w:r>
        <w:rPr>
          <w:noProof/>
        </w:rPr>
        <w:t xml:space="preserve">Departmental SOPs and Guidance documents </w:t>
      </w:r>
      <w:r w:rsidR="006E77A7">
        <w:rPr>
          <w:noProof/>
        </w:rPr>
        <w:tab/>
      </w:r>
    </w:p>
    <w:p w14:paraId="22823DA0" w14:textId="77777777" w:rsidR="002F0C32" w:rsidRDefault="002F0C32" w:rsidP="002F0C32">
      <w:pPr>
        <w:spacing w:after="0" w:line="360" w:lineRule="auto"/>
        <w:rPr>
          <w:noProof/>
        </w:rPr>
      </w:pPr>
    </w:p>
    <w:p w14:paraId="292742ED" w14:textId="034FC1E4" w:rsidR="009F5CB2" w:rsidRDefault="009F5CB2" w:rsidP="002F0C32">
      <w:pPr>
        <w:pStyle w:val="ListParagraph"/>
        <w:numPr>
          <w:ilvl w:val="0"/>
          <w:numId w:val="1"/>
        </w:numPr>
        <w:spacing w:after="0" w:line="360" w:lineRule="auto"/>
        <w:rPr>
          <w:noProof/>
        </w:rPr>
      </w:pPr>
      <w:r>
        <w:rPr>
          <w:noProof/>
        </w:rPr>
        <w:t>Sponsors</w:t>
      </w:r>
    </w:p>
    <w:p w14:paraId="25CDFE27" w14:textId="3CE3FEEE" w:rsidR="009F5CB2" w:rsidRDefault="009F5CB2" w:rsidP="002F0C32">
      <w:pPr>
        <w:pStyle w:val="ListParagraph"/>
        <w:numPr>
          <w:ilvl w:val="1"/>
          <w:numId w:val="1"/>
        </w:numPr>
        <w:spacing w:after="0" w:line="360" w:lineRule="auto"/>
        <w:rPr>
          <w:noProof/>
        </w:rPr>
      </w:pPr>
      <w:r>
        <w:rPr>
          <w:noProof/>
        </w:rPr>
        <w:t xml:space="preserve">Government agencies sponsoring research </w:t>
      </w:r>
    </w:p>
    <w:p w14:paraId="11B7B699" w14:textId="20B8A86C" w:rsidR="009F5CB2" w:rsidRDefault="009F5CB2" w:rsidP="002F0C32">
      <w:pPr>
        <w:pStyle w:val="ListParagraph"/>
        <w:numPr>
          <w:ilvl w:val="1"/>
          <w:numId w:val="1"/>
        </w:numPr>
        <w:spacing w:after="0" w:line="360" w:lineRule="auto"/>
        <w:rPr>
          <w:noProof/>
        </w:rPr>
      </w:pPr>
      <w:r>
        <w:rPr>
          <w:noProof/>
        </w:rPr>
        <w:t xml:space="preserve">Institutional </w:t>
      </w:r>
      <w:r w:rsidR="002F0C32">
        <w:rPr>
          <w:noProof/>
        </w:rPr>
        <w:t>Principal Investigators (PIs) as a</w:t>
      </w:r>
      <w:r>
        <w:rPr>
          <w:noProof/>
        </w:rPr>
        <w:t xml:space="preserve"> sponsor</w:t>
      </w:r>
      <w:r w:rsidR="002F0C32">
        <w:rPr>
          <w:noProof/>
        </w:rPr>
        <w:t xml:space="preserve">s </w:t>
      </w:r>
      <w:r>
        <w:rPr>
          <w:noProof/>
        </w:rPr>
        <w:t xml:space="preserve">(IITs) </w:t>
      </w:r>
    </w:p>
    <w:p w14:paraId="223B7364" w14:textId="6625E1EA" w:rsidR="009F5CB2" w:rsidRDefault="009F5CB2" w:rsidP="002F0C32">
      <w:pPr>
        <w:pStyle w:val="ListParagraph"/>
        <w:numPr>
          <w:ilvl w:val="1"/>
          <w:numId w:val="1"/>
        </w:numPr>
        <w:spacing w:after="0" w:line="360" w:lineRule="auto"/>
        <w:rPr>
          <w:noProof/>
        </w:rPr>
      </w:pPr>
      <w:r>
        <w:rPr>
          <w:noProof/>
        </w:rPr>
        <w:t xml:space="preserve">Industry Sponsors – pharmaceutical </w:t>
      </w:r>
      <w:r w:rsidR="002F0C32">
        <w:rPr>
          <w:noProof/>
        </w:rPr>
        <w:t xml:space="preserve">companies </w:t>
      </w:r>
      <w:r>
        <w:rPr>
          <w:noProof/>
        </w:rPr>
        <w:t xml:space="preserve"> </w:t>
      </w:r>
    </w:p>
    <w:p w14:paraId="03AF8A0F" w14:textId="10EB07C6" w:rsidR="00515055" w:rsidRDefault="00515055" w:rsidP="002F0C32">
      <w:pPr>
        <w:spacing w:after="0" w:line="360" w:lineRule="auto"/>
        <w:rPr>
          <w:b/>
          <w:bCs/>
          <w:u w:val="single"/>
        </w:rPr>
      </w:pPr>
    </w:p>
    <w:p w14:paraId="2395F400" w14:textId="4ABE58E6" w:rsidR="004F7EEB" w:rsidRDefault="004F7EEB" w:rsidP="002F0C32">
      <w:pPr>
        <w:spacing w:after="0" w:line="360" w:lineRule="auto"/>
        <w:rPr>
          <w:b/>
          <w:bCs/>
          <w:u w:val="single"/>
        </w:rPr>
      </w:pPr>
    </w:p>
    <w:p w14:paraId="0365528A" w14:textId="611C2995" w:rsidR="004F7EEB" w:rsidRDefault="004F7EEB" w:rsidP="002F0C32">
      <w:pPr>
        <w:spacing w:after="0" w:line="360" w:lineRule="auto"/>
        <w:rPr>
          <w:b/>
          <w:bCs/>
          <w:u w:val="single"/>
        </w:rPr>
      </w:pPr>
    </w:p>
    <w:p w14:paraId="107434D7" w14:textId="551BCB4F" w:rsidR="004F7EEB" w:rsidRDefault="004F7EEB" w:rsidP="002F0C32">
      <w:pPr>
        <w:spacing w:after="0" w:line="360" w:lineRule="auto"/>
        <w:rPr>
          <w:b/>
          <w:bCs/>
          <w:u w:val="single"/>
        </w:rPr>
      </w:pPr>
    </w:p>
    <w:p w14:paraId="2653802D" w14:textId="6C68F618" w:rsidR="004F7EEB" w:rsidRDefault="004F7EEB" w:rsidP="002F0C32">
      <w:pPr>
        <w:spacing w:after="0" w:line="360" w:lineRule="auto"/>
        <w:rPr>
          <w:b/>
          <w:bCs/>
          <w:u w:val="single"/>
        </w:rPr>
      </w:pPr>
    </w:p>
    <w:p w14:paraId="11B5D5F5" w14:textId="07DDC663" w:rsidR="004F7EEB" w:rsidRDefault="004F7EEB" w:rsidP="002F0C32">
      <w:pPr>
        <w:spacing w:after="0" w:line="360" w:lineRule="auto"/>
        <w:rPr>
          <w:b/>
          <w:bCs/>
          <w:u w:val="single"/>
        </w:rPr>
      </w:pPr>
    </w:p>
    <w:p w14:paraId="62108826" w14:textId="77777777" w:rsidR="004F7EEB" w:rsidRDefault="004F7EEB" w:rsidP="002F0C32">
      <w:pPr>
        <w:spacing w:after="0" w:line="360" w:lineRule="auto"/>
        <w:rPr>
          <w:b/>
          <w:bCs/>
          <w:u w:val="single"/>
        </w:rPr>
      </w:pPr>
    </w:p>
    <w:p w14:paraId="1B5C587B" w14:textId="77777777" w:rsidR="00515055" w:rsidRDefault="00515055" w:rsidP="002F0C32">
      <w:pPr>
        <w:spacing w:after="0" w:line="360" w:lineRule="auto"/>
        <w:rPr>
          <w:b/>
          <w:bCs/>
          <w:u w:val="single"/>
        </w:rPr>
      </w:pPr>
    </w:p>
    <w:p w14:paraId="6740DD87" w14:textId="005015AE" w:rsidR="009F5CB2" w:rsidRPr="00515055" w:rsidRDefault="009F5CB2" w:rsidP="002F0C32">
      <w:pPr>
        <w:spacing w:after="0" w:line="360" w:lineRule="auto"/>
        <w:rPr>
          <w:b/>
          <w:bCs/>
          <w:u w:val="single"/>
        </w:rPr>
      </w:pPr>
      <w:r w:rsidRPr="00515055">
        <w:rPr>
          <w:b/>
          <w:bCs/>
          <w:u w:val="single"/>
        </w:rPr>
        <w:lastRenderedPageBreak/>
        <w:t xml:space="preserve">Resources about “The Processes” </w:t>
      </w:r>
    </w:p>
    <w:p w14:paraId="5C64016E" w14:textId="41848E13" w:rsidR="009F5CB2" w:rsidRDefault="00515055" w:rsidP="002F0C32">
      <w:pPr>
        <w:pStyle w:val="ListParagraph"/>
        <w:numPr>
          <w:ilvl w:val="0"/>
          <w:numId w:val="2"/>
        </w:numPr>
        <w:spacing w:after="0" w:line="360" w:lineRule="auto"/>
      </w:pPr>
      <w:r>
        <w:t xml:space="preserve">Create </w:t>
      </w:r>
      <w:r w:rsidR="00995A37">
        <w:t xml:space="preserve">it </w:t>
      </w:r>
    </w:p>
    <w:p w14:paraId="31827A79" w14:textId="41A745FF" w:rsidR="00515055" w:rsidRPr="004B5D31" w:rsidRDefault="00515055" w:rsidP="002F0C32">
      <w:pPr>
        <w:pStyle w:val="ListParagraph"/>
        <w:numPr>
          <w:ilvl w:val="1"/>
          <w:numId w:val="2"/>
        </w:numPr>
        <w:spacing w:after="0" w:line="360" w:lineRule="auto"/>
      </w:pPr>
      <w:r>
        <w:t xml:space="preserve">Required content </w:t>
      </w:r>
      <w:r w:rsidR="00995A37">
        <w:rPr>
          <w:color w:val="2E74B5" w:themeColor="accent5" w:themeShade="BF"/>
        </w:rPr>
        <w:t xml:space="preserve">Click </w:t>
      </w:r>
      <w:hyperlink r:id="rId16" w:history="1">
        <w:r w:rsidR="001B51D4" w:rsidRPr="001B51D4">
          <w:rPr>
            <w:rStyle w:val="Hyperlink"/>
          </w:rPr>
          <w:t>HERE</w:t>
        </w:r>
      </w:hyperlink>
      <w:r w:rsidR="001B51D4">
        <w:rPr>
          <w:color w:val="2E74B5" w:themeColor="accent5" w:themeShade="BF"/>
        </w:rPr>
        <w:t xml:space="preserve"> </w:t>
      </w:r>
      <w:r w:rsidR="00995A37">
        <w:rPr>
          <w:color w:val="2E74B5" w:themeColor="accent5" w:themeShade="BF"/>
        </w:rPr>
        <w:t>for COMIRB “forms” library; then select “Consent Forms” for templates to use in creating a consent form</w:t>
      </w:r>
      <w:r w:rsidR="00295282">
        <w:rPr>
          <w:color w:val="2E74B5" w:themeColor="accent5" w:themeShade="BF"/>
        </w:rPr>
        <w:t xml:space="preserve">. </w:t>
      </w:r>
      <w:r w:rsidR="00995A37">
        <w:rPr>
          <w:color w:val="2E74B5" w:themeColor="accent5" w:themeShade="BF"/>
        </w:rPr>
        <w:t xml:space="preserve"> </w:t>
      </w:r>
    </w:p>
    <w:p w14:paraId="4C009ADD" w14:textId="7A5A9B87" w:rsidR="004B5D31" w:rsidRPr="00F42DA9" w:rsidRDefault="004B5D31" w:rsidP="002F0C32">
      <w:pPr>
        <w:pStyle w:val="ListParagraph"/>
        <w:numPr>
          <w:ilvl w:val="1"/>
          <w:numId w:val="2"/>
        </w:numPr>
        <w:spacing w:after="0" w:line="360" w:lineRule="auto"/>
      </w:pPr>
      <w:r w:rsidRPr="00F42DA9">
        <w:t xml:space="preserve">Reading grade level and logical structure </w:t>
      </w:r>
    </w:p>
    <w:p w14:paraId="6CE91573" w14:textId="1AFA8A42" w:rsidR="00515055" w:rsidRPr="00BA5766" w:rsidRDefault="00515055" w:rsidP="002F0C32">
      <w:pPr>
        <w:pStyle w:val="ListParagraph"/>
        <w:numPr>
          <w:ilvl w:val="1"/>
          <w:numId w:val="2"/>
        </w:numPr>
        <w:spacing w:after="0" w:line="360" w:lineRule="auto"/>
      </w:pPr>
      <w:r>
        <w:t xml:space="preserve">Short forms </w:t>
      </w:r>
      <w:r w:rsidR="00BA5766" w:rsidRPr="00BA5766">
        <w:rPr>
          <w:color w:val="2E74B5" w:themeColor="accent5" w:themeShade="BF"/>
        </w:rPr>
        <w:t>Click</w:t>
      </w:r>
      <w:r w:rsidR="001B51D4">
        <w:rPr>
          <w:color w:val="2E74B5" w:themeColor="accent5" w:themeShade="BF"/>
        </w:rPr>
        <w:t xml:space="preserve"> </w:t>
      </w:r>
      <w:hyperlink r:id="rId17" w:history="1">
        <w:r w:rsidR="001B51D4" w:rsidRPr="001B51D4">
          <w:rPr>
            <w:rStyle w:val="Hyperlink"/>
          </w:rPr>
          <w:t>HERE</w:t>
        </w:r>
      </w:hyperlink>
      <w:r w:rsidR="00BA5766" w:rsidRPr="00BA5766">
        <w:rPr>
          <w:color w:val="2E74B5" w:themeColor="accent5" w:themeShade="BF"/>
        </w:rPr>
        <w:t xml:space="preserve">  for COMIR</w:t>
      </w:r>
      <w:r w:rsidR="00BA5766">
        <w:rPr>
          <w:color w:val="2E74B5" w:themeColor="accent5" w:themeShade="BF"/>
        </w:rPr>
        <w:t>B</w:t>
      </w:r>
      <w:r w:rsidR="00BA5766" w:rsidRPr="00BA5766">
        <w:rPr>
          <w:color w:val="2E74B5" w:themeColor="accent5" w:themeShade="BF"/>
        </w:rPr>
        <w:t xml:space="preserve"> short form policy </w:t>
      </w:r>
    </w:p>
    <w:p w14:paraId="56EC5ABF" w14:textId="16E7DBD3" w:rsidR="00BA5766" w:rsidRDefault="00BA5766" w:rsidP="002F0C32">
      <w:pPr>
        <w:pStyle w:val="ListParagraph"/>
        <w:numPr>
          <w:ilvl w:val="1"/>
          <w:numId w:val="2"/>
        </w:numPr>
        <w:spacing w:after="0" w:line="360" w:lineRule="auto"/>
      </w:pPr>
      <w:r w:rsidRPr="00BA5766">
        <w:t>Assent</w:t>
      </w:r>
      <w:r w:rsidR="001B76AE">
        <w:t xml:space="preserve">. </w:t>
      </w:r>
      <w:r>
        <w:rPr>
          <w:color w:val="2E74B5" w:themeColor="accent5" w:themeShade="BF"/>
        </w:rPr>
        <w:t xml:space="preserve"> Click </w:t>
      </w:r>
      <w:hyperlink r:id="rId18" w:history="1">
        <w:r w:rsidRPr="00BA5766">
          <w:rPr>
            <w:rStyle w:val="Hyperlink"/>
            <w:color w:val="034990" w:themeColor="hyperlink" w:themeShade="BF"/>
          </w:rPr>
          <w:t>HERE</w:t>
        </w:r>
      </w:hyperlink>
      <w:r>
        <w:rPr>
          <w:color w:val="2E74B5" w:themeColor="accent5" w:themeShade="BF"/>
        </w:rPr>
        <w:t xml:space="preserve">  for COMIRB policy on Assent forms in research </w:t>
      </w:r>
    </w:p>
    <w:p w14:paraId="0E27B9A7" w14:textId="0544FD24" w:rsidR="00B27F46" w:rsidRDefault="00515055" w:rsidP="00B27F46">
      <w:pPr>
        <w:pStyle w:val="ListParagraph"/>
        <w:numPr>
          <w:ilvl w:val="1"/>
          <w:numId w:val="2"/>
        </w:numPr>
        <w:spacing w:after="0" w:line="360" w:lineRule="auto"/>
      </w:pPr>
      <w:r>
        <w:t>Waivers</w:t>
      </w:r>
      <w:r w:rsidR="001B76AE">
        <w:t xml:space="preserve">. </w:t>
      </w:r>
      <w:r>
        <w:t xml:space="preserve"> </w:t>
      </w:r>
      <w:r w:rsidR="005E7838">
        <w:rPr>
          <w:color w:val="2E74B5" w:themeColor="accent5" w:themeShade="BF"/>
        </w:rPr>
        <w:t>(please see attached form “</w:t>
      </w:r>
      <w:hyperlink r:id="rId19" w:history="1">
        <w:r w:rsidR="005E7838" w:rsidRPr="005E7838">
          <w:rPr>
            <w:rFonts w:ascii="Verdana" w:hAnsi="Verdana"/>
            <w:color w:val="00549E"/>
            <w:sz w:val="18"/>
            <w:szCs w:val="18"/>
            <w:u w:val="single"/>
            <w:shd w:val="clear" w:color="auto" w:fill="FFFFFF"/>
          </w:rPr>
          <w:t>Waivers of Consent, Documentation of Consent, and HIPAA Authorization</w:t>
        </w:r>
        <w:r w:rsidR="005E7838" w:rsidRPr="005E7838">
          <w:rPr>
            <w:rFonts w:ascii="Arial" w:hAnsi="Arial" w:cs="Arial"/>
            <w:color w:val="00549E"/>
            <w:sz w:val="18"/>
            <w:szCs w:val="18"/>
            <w:u w:val="single"/>
            <w:shd w:val="clear" w:color="auto" w:fill="FFFFFF"/>
          </w:rPr>
          <w:t>​</w:t>
        </w:r>
      </w:hyperlink>
    </w:p>
    <w:p w14:paraId="65425270" w14:textId="6C0836EC" w:rsidR="00515055" w:rsidRDefault="00515055" w:rsidP="002F0C32">
      <w:pPr>
        <w:pStyle w:val="ListParagraph"/>
        <w:numPr>
          <w:ilvl w:val="0"/>
          <w:numId w:val="2"/>
        </w:numPr>
        <w:spacing w:after="0" w:line="360" w:lineRule="auto"/>
      </w:pPr>
      <w:r>
        <w:t>Present</w:t>
      </w:r>
      <w:r w:rsidR="00995A37">
        <w:t xml:space="preserve"> it </w:t>
      </w:r>
    </w:p>
    <w:p w14:paraId="5A02A59F" w14:textId="54DF82C2" w:rsidR="00515055" w:rsidRPr="003B4F77" w:rsidRDefault="003B4F77" w:rsidP="002F0C32">
      <w:pPr>
        <w:pStyle w:val="ListParagraph"/>
        <w:numPr>
          <w:ilvl w:val="1"/>
          <w:numId w:val="2"/>
        </w:numPr>
        <w:spacing w:after="0" w:line="360" w:lineRule="auto"/>
        <w:rPr>
          <w:i/>
          <w:color w:val="2E74B5" w:themeColor="accent5" w:themeShade="BF"/>
        </w:rPr>
      </w:pPr>
      <w:r w:rsidRPr="003B4F77">
        <w:rPr>
          <w:color w:val="2E74B5" w:themeColor="accent5" w:themeShade="BF"/>
        </w:rPr>
        <w:t xml:space="preserve">See attachment </w:t>
      </w:r>
      <w:r w:rsidRPr="003B4F77">
        <w:rPr>
          <w:i/>
          <w:color w:val="2E74B5" w:themeColor="accent5" w:themeShade="BF"/>
        </w:rPr>
        <w:t xml:space="preserve">“Standard Operating Procedure for Informed Consent” </w:t>
      </w:r>
      <w:r w:rsidRPr="003B4F77">
        <w:rPr>
          <w:color w:val="2E74B5" w:themeColor="accent5" w:themeShade="BF"/>
        </w:rPr>
        <w:t xml:space="preserve">from the Clinical Research Toolkit </w:t>
      </w:r>
    </w:p>
    <w:p w14:paraId="1DA8275E" w14:textId="0214B10A" w:rsidR="003B4F77" w:rsidRPr="003B4F77" w:rsidRDefault="003B4F77" w:rsidP="002F0C32">
      <w:pPr>
        <w:pStyle w:val="ListParagraph"/>
        <w:numPr>
          <w:ilvl w:val="1"/>
          <w:numId w:val="2"/>
        </w:numPr>
        <w:spacing w:after="0" w:line="360" w:lineRule="auto"/>
        <w:rPr>
          <w:i/>
          <w:color w:val="2E74B5" w:themeColor="accent5" w:themeShade="BF"/>
        </w:rPr>
      </w:pPr>
      <w:r>
        <w:rPr>
          <w:color w:val="2E74B5" w:themeColor="accent5" w:themeShade="BF"/>
        </w:rPr>
        <w:t xml:space="preserve">See attachment, </w:t>
      </w:r>
      <w:r w:rsidRPr="00963A86">
        <w:rPr>
          <w:i/>
          <w:color w:val="2E74B5" w:themeColor="accent5" w:themeShade="BF"/>
        </w:rPr>
        <w:t>“Electronic Consent”</w:t>
      </w:r>
      <w:r>
        <w:rPr>
          <w:color w:val="2E74B5" w:themeColor="accent5" w:themeShade="BF"/>
        </w:rPr>
        <w:t xml:space="preserve"> for information on eConsent </w:t>
      </w:r>
    </w:p>
    <w:p w14:paraId="3B248042" w14:textId="37AD14AD" w:rsidR="003B4F77" w:rsidRPr="004F7EEB" w:rsidRDefault="003B4F77" w:rsidP="004F7EEB">
      <w:pPr>
        <w:pStyle w:val="ListParagraph"/>
        <w:numPr>
          <w:ilvl w:val="1"/>
          <w:numId w:val="2"/>
        </w:numPr>
        <w:spacing w:after="0" w:line="360" w:lineRule="auto"/>
        <w:rPr>
          <w:color w:val="2E74B5" w:themeColor="accent5" w:themeShade="BF"/>
        </w:rPr>
      </w:pPr>
      <w:r>
        <w:t xml:space="preserve">Who can perform consent? </w:t>
      </w:r>
      <w:r w:rsidR="004F7EEB" w:rsidRPr="004F7EEB">
        <w:rPr>
          <w:color w:val="2E74B5" w:themeColor="accent5" w:themeShade="BF"/>
        </w:rPr>
        <w:t>Qualified team members will have training and specific knowledge</w:t>
      </w:r>
    </w:p>
    <w:p w14:paraId="025930C8" w14:textId="616702BA" w:rsidR="003B4F77" w:rsidRPr="00F37015" w:rsidRDefault="003B4F77" w:rsidP="003B4F77">
      <w:pPr>
        <w:pStyle w:val="ListParagraph"/>
        <w:numPr>
          <w:ilvl w:val="1"/>
          <w:numId w:val="2"/>
        </w:numPr>
        <w:spacing w:after="0" w:line="360" w:lineRule="auto"/>
      </w:pPr>
      <w:r w:rsidRPr="00F37015">
        <w:t xml:space="preserve">When and where </w:t>
      </w:r>
      <w:r w:rsidR="00B27F46" w:rsidRPr="00F37015">
        <w:t xml:space="preserve">– </w:t>
      </w:r>
      <w:r w:rsidR="004F7EEB" w:rsidRPr="004B5D31">
        <w:rPr>
          <w:color w:val="2E74B5" w:themeColor="accent5" w:themeShade="BF"/>
        </w:rPr>
        <w:t xml:space="preserve">in a private, quiet area; </w:t>
      </w:r>
      <w:r w:rsidR="00B27F46" w:rsidRPr="004B5D31">
        <w:rPr>
          <w:color w:val="2E74B5" w:themeColor="accent5" w:themeShade="BF"/>
        </w:rPr>
        <w:t>after COMIRB approval</w:t>
      </w:r>
      <w:r w:rsidR="004F7EEB" w:rsidRPr="004B5D31">
        <w:rPr>
          <w:color w:val="2E74B5" w:themeColor="accent5" w:themeShade="BF"/>
        </w:rPr>
        <w:t xml:space="preserve"> (discuss approval stamp and date) </w:t>
      </w:r>
      <w:r w:rsidR="004B5D31" w:rsidRPr="004B5D31">
        <w:rPr>
          <w:color w:val="2E74B5" w:themeColor="accent5" w:themeShade="BF"/>
        </w:rPr>
        <w:t xml:space="preserve">after initial screening; before any procedures </w:t>
      </w:r>
    </w:p>
    <w:p w14:paraId="28B176BA" w14:textId="5D895F92" w:rsidR="003B4F77" w:rsidRDefault="003B4F77" w:rsidP="003B4F77">
      <w:pPr>
        <w:pStyle w:val="ListParagraph"/>
        <w:numPr>
          <w:ilvl w:val="1"/>
          <w:numId w:val="2"/>
        </w:numPr>
        <w:spacing w:after="0" w:line="360" w:lineRule="auto"/>
        <w:rPr>
          <w:color w:val="2E74B5" w:themeColor="accent5" w:themeShade="BF"/>
        </w:rPr>
      </w:pPr>
      <w:r w:rsidRPr="00F37015">
        <w:t>What is used</w:t>
      </w:r>
      <w:r w:rsidR="004F7EEB">
        <w:t xml:space="preserve"> - </w:t>
      </w:r>
      <w:r w:rsidR="004F7EEB" w:rsidRPr="004F7EEB">
        <w:rPr>
          <w:color w:val="2E74B5" w:themeColor="accent5" w:themeShade="BF"/>
        </w:rPr>
        <w:t>approved consent, short form, assent form</w:t>
      </w:r>
      <w:r w:rsidR="004B5D31">
        <w:rPr>
          <w:color w:val="2E74B5" w:themeColor="accent5" w:themeShade="BF"/>
        </w:rPr>
        <w:t xml:space="preserve">, translations - </w:t>
      </w:r>
      <w:r w:rsidR="004F7EEB" w:rsidRPr="004F7EEB">
        <w:rPr>
          <w:color w:val="2E74B5" w:themeColor="accent5" w:themeShade="BF"/>
        </w:rPr>
        <w:t>(see SOP)</w:t>
      </w:r>
    </w:p>
    <w:p w14:paraId="07708EA9" w14:textId="233B4EB2" w:rsidR="00515055" w:rsidRDefault="00515055" w:rsidP="002F0C32">
      <w:pPr>
        <w:pStyle w:val="ListParagraph"/>
        <w:numPr>
          <w:ilvl w:val="0"/>
          <w:numId w:val="2"/>
        </w:numPr>
        <w:spacing w:after="0" w:line="360" w:lineRule="auto"/>
      </w:pPr>
      <w:r>
        <w:t xml:space="preserve">Assess </w:t>
      </w:r>
      <w:r w:rsidR="00995A37">
        <w:t xml:space="preserve">it </w:t>
      </w:r>
    </w:p>
    <w:p w14:paraId="30EC36A8" w14:textId="036833FC" w:rsidR="00515055" w:rsidRDefault="00515055" w:rsidP="002F0C32">
      <w:pPr>
        <w:pStyle w:val="ListParagraph"/>
        <w:numPr>
          <w:ilvl w:val="1"/>
          <w:numId w:val="2"/>
        </w:numPr>
        <w:spacing w:after="0" w:line="360" w:lineRule="auto"/>
      </w:pPr>
      <w:r>
        <w:t xml:space="preserve">Assess communication needs </w:t>
      </w:r>
      <w:r w:rsidR="00F42DA9">
        <w:rPr>
          <w:color w:val="2E74B5" w:themeColor="accent5" w:themeShade="BF"/>
        </w:rPr>
        <w:t xml:space="preserve">See “Further Resources” for links to Health Literacy, Readability, comprehension, and assessing communication. </w:t>
      </w:r>
    </w:p>
    <w:p w14:paraId="167E91A0" w14:textId="6B8C2F99" w:rsidR="00515055" w:rsidRDefault="00515055" w:rsidP="002F0C32">
      <w:pPr>
        <w:pStyle w:val="ListParagraph"/>
        <w:numPr>
          <w:ilvl w:val="1"/>
          <w:numId w:val="2"/>
        </w:numPr>
        <w:spacing w:after="0" w:line="360" w:lineRule="auto"/>
      </w:pPr>
      <w:r>
        <w:t xml:space="preserve">Assess comprehension </w:t>
      </w:r>
    </w:p>
    <w:p w14:paraId="7C0B0115" w14:textId="0C9F09AB" w:rsidR="00515055" w:rsidRDefault="00515055" w:rsidP="002F0C32">
      <w:pPr>
        <w:pStyle w:val="ListParagraph"/>
        <w:numPr>
          <w:ilvl w:val="1"/>
          <w:numId w:val="2"/>
        </w:numPr>
        <w:spacing w:after="0" w:line="360" w:lineRule="auto"/>
      </w:pPr>
      <w:r>
        <w:t xml:space="preserve">Use proven methods </w:t>
      </w:r>
    </w:p>
    <w:p w14:paraId="34A257B3" w14:textId="7EFAEAC6" w:rsidR="00515055" w:rsidRDefault="00515055" w:rsidP="002F0C32">
      <w:pPr>
        <w:pStyle w:val="ListParagraph"/>
        <w:numPr>
          <w:ilvl w:val="0"/>
          <w:numId w:val="2"/>
        </w:numPr>
        <w:spacing w:after="0" w:line="360" w:lineRule="auto"/>
      </w:pPr>
      <w:r>
        <w:t>Document</w:t>
      </w:r>
      <w:r w:rsidR="00995A37">
        <w:t xml:space="preserve"> it </w:t>
      </w:r>
      <w:r w:rsidR="00F42DA9">
        <w:rPr>
          <w:color w:val="2E74B5" w:themeColor="accent5" w:themeShade="BF"/>
        </w:rPr>
        <w:t>Click</w:t>
      </w:r>
      <w:r w:rsidR="00FF190A">
        <w:rPr>
          <w:color w:val="2E74B5" w:themeColor="accent5" w:themeShade="BF"/>
        </w:rPr>
        <w:t xml:space="preserve"> </w:t>
      </w:r>
      <w:hyperlink r:id="rId20" w:history="1">
        <w:r w:rsidR="00FF190A" w:rsidRPr="00FF190A">
          <w:rPr>
            <w:rStyle w:val="Hyperlink"/>
            <w:color w:val="034990" w:themeColor="hyperlink" w:themeShade="BF"/>
          </w:rPr>
          <w:t>HERE</w:t>
        </w:r>
      </w:hyperlink>
      <w:r w:rsidR="00F42DA9">
        <w:rPr>
          <w:color w:val="2E74B5" w:themeColor="accent5" w:themeShade="BF"/>
        </w:rPr>
        <w:t xml:space="preserve">  for COMIRB’s policy</w:t>
      </w:r>
      <w:r w:rsidR="00DB4C18">
        <w:rPr>
          <w:color w:val="2E74B5" w:themeColor="accent5" w:themeShade="BF"/>
        </w:rPr>
        <w:t xml:space="preserve"> and procedures, and go to Section 14.3 to read COMIRB’s policy on </w:t>
      </w:r>
      <w:r w:rsidR="00F42DA9">
        <w:rPr>
          <w:color w:val="2E74B5" w:themeColor="accent5" w:themeShade="BF"/>
        </w:rPr>
        <w:t xml:space="preserve">documentation of informed consent </w:t>
      </w:r>
    </w:p>
    <w:p w14:paraId="2C6D0C6B" w14:textId="41A6BF99" w:rsidR="00515055" w:rsidRDefault="00515055" w:rsidP="002F0C32">
      <w:pPr>
        <w:pStyle w:val="ListParagraph"/>
        <w:numPr>
          <w:ilvl w:val="1"/>
          <w:numId w:val="2"/>
        </w:numPr>
        <w:spacing w:after="0" w:line="360" w:lineRule="auto"/>
      </w:pPr>
      <w:r>
        <w:t xml:space="preserve">What is documentation? </w:t>
      </w:r>
    </w:p>
    <w:p w14:paraId="4540558A" w14:textId="71164610" w:rsidR="00515055" w:rsidRDefault="00515055" w:rsidP="002F0C32">
      <w:pPr>
        <w:pStyle w:val="ListParagraph"/>
        <w:numPr>
          <w:ilvl w:val="1"/>
          <w:numId w:val="2"/>
        </w:numPr>
        <w:spacing w:after="0" w:line="360" w:lineRule="auto"/>
      </w:pPr>
      <w:r>
        <w:t>How do we document?</w:t>
      </w:r>
    </w:p>
    <w:p w14:paraId="63DA3F8E" w14:textId="3C87D297" w:rsidR="00515055" w:rsidRDefault="00515055" w:rsidP="002F0C32">
      <w:pPr>
        <w:pStyle w:val="ListParagraph"/>
        <w:numPr>
          <w:ilvl w:val="1"/>
          <w:numId w:val="2"/>
        </w:numPr>
        <w:spacing w:after="0" w:line="360" w:lineRule="auto"/>
      </w:pPr>
      <w:r>
        <w:t xml:space="preserve">Who needs to sign the consent form? </w:t>
      </w:r>
    </w:p>
    <w:p w14:paraId="64BBEB42" w14:textId="317A2453" w:rsidR="00515055" w:rsidRDefault="00386593" w:rsidP="002F0C32">
      <w:pPr>
        <w:spacing w:after="0" w:line="360" w:lineRule="auto"/>
      </w:pPr>
      <w:r w:rsidRPr="00E3259F">
        <w:rPr>
          <w:noProof/>
        </w:rPr>
        <w:lastRenderedPageBreak/>
        <w:drawing>
          <wp:inline distT="0" distB="0" distL="0" distR="0" wp14:anchorId="35D064F6" wp14:editId="16BDFEEC">
            <wp:extent cx="4895850" cy="2619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895850" cy="2619375"/>
                    </a:xfrm>
                    <a:prstGeom prst="rect">
                      <a:avLst/>
                    </a:prstGeom>
                  </pic:spPr>
                </pic:pic>
              </a:graphicData>
            </a:graphic>
          </wp:inline>
        </w:drawing>
      </w:r>
    </w:p>
    <w:p w14:paraId="009A9526" w14:textId="648EFF2B" w:rsidR="00515055" w:rsidRDefault="00515055" w:rsidP="002F0C32">
      <w:pPr>
        <w:spacing w:after="0" w:line="360" w:lineRule="auto"/>
      </w:pPr>
    </w:p>
    <w:p w14:paraId="5CDFFCD8" w14:textId="17F3DDB6" w:rsidR="004F7EEB" w:rsidRDefault="004F7EEB" w:rsidP="002F0C32">
      <w:pPr>
        <w:spacing w:after="0" w:line="360" w:lineRule="auto"/>
      </w:pPr>
    </w:p>
    <w:p w14:paraId="018D5089" w14:textId="25573AD7" w:rsidR="004F7EEB" w:rsidRDefault="004F7EEB" w:rsidP="002F0C32">
      <w:pPr>
        <w:spacing w:after="0" w:line="360" w:lineRule="auto"/>
      </w:pPr>
    </w:p>
    <w:p w14:paraId="4768D431" w14:textId="68077C9C" w:rsidR="004F7EEB" w:rsidRDefault="0000421E" w:rsidP="002F0C32">
      <w:pPr>
        <w:spacing w:after="0" w:line="360" w:lineRule="auto"/>
        <w:rPr>
          <w:b/>
          <w:u w:val="single"/>
        </w:rPr>
      </w:pPr>
      <w:r w:rsidRPr="0000421E">
        <w:rPr>
          <w:b/>
          <w:u w:val="single"/>
        </w:rPr>
        <w:t>Further Resources</w:t>
      </w:r>
    </w:p>
    <w:p w14:paraId="02444B89" w14:textId="77777777" w:rsidR="0000421E" w:rsidRPr="0000421E" w:rsidRDefault="0000421E" w:rsidP="002F0C32">
      <w:pPr>
        <w:spacing w:after="0" w:line="360" w:lineRule="auto"/>
        <w:rPr>
          <w:b/>
          <w:u w:val="single"/>
        </w:rPr>
      </w:pPr>
    </w:p>
    <w:p w14:paraId="1BA1460D" w14:textId="0CA95769" w:rsidR="004F7EEB" w:rsidRDefault="004F7EEB" w:rsidP="004F7EEB">
      <w:pPr>
        <w:pStyle w:val="ListParagraph"/>
        <w:numPr>
          <w:ilvl w:val="0"/>
          <w:numId w:val="3"/>
        </w:numPr>
        <w:spacing w:after="0" w:line="480" w:lineRule="auto"/>
      </w:pPr>
      <w:r>
        <w:t xml:space="preserve">Assessing understanding </w:t>
      </w:r>
      <w:r w:rsidR="0000421E">
        <w:t xml:space="preserve">- </w:t>
      </w:r>
    </w:p>
    <w:p w14:paraId="48C9AE0A" w14:textId="77777777" w:rsidR="004F7EEB" w:rsidRPr="004F7EEB" w:rsidRDefault="004F7EEB" w:rsidP="004F7EEB">
      <w:pPr>
        <w:pStyle w:val="ListParagraph"/>
        <w:numPr>
          <w:ilvl w:val="0"/>
          <w:numId w:val="3"/>
        </w:numPr>
        <w:spacing w:after="0" w:line="240" w:lineRule="auto"/>
        <w:rPr>
          <w:sz w:val="18"/>
          <w:szCs w:val="18"/>
        </w:rPr>
      </w:pPr>
      <w:r>
        <w:t xml:space="preserve">Clinical Trials.gov information, see COMIRB Policies and Procedures, 14.2.1: </w:t>
      </w:r>
    </w:p>
    <w:p w14:paraId="208649C0" w14:textId="7CD9C0E3" w:rsidR="004F7EEB" w:rsidRPr="004F7EEB" w:rsidRDefault="004F7EEB" w:rsidP="004F7EEB">
      <w:pPr>
        <w:pStyle w:val="ListParagraph"/>
        <w:numPr>
          <w:ilvl w:val="1"/>
          <w:numId w:val="3"/>
        </w:numPr>
        <w:spacing w:after="0" w:line="240" w:lineRule="auto"/>
        <w:rPr>
          <w:sz w:val="18"/>
          <w:szCs w:val="18"/>
        </w:rPr>
      </w:pPr>
      <w:r w:rsidRPr="004F7EEB">
        <w:rPr>
          <w:sz w:val="18"/>
          <w:szCs w:val="18"/>
        </w:rPr>
        <w:t>Clinical investigations involving drugs or biologics which are controlled and other than Phase I investigations. Clinical investigations involving medical devices which are prospective, controlled, and other than a small feasibility study; For applicable FDA-regulated studies information about ClinicalTrials.gov. Applicable studies include:</w:t>
      </w:r>
    </w:p>
    <w:p w14:paraId="5AC8008C" w14:textId="77777777" w:rsidR="004F7EEB" w:rsidRPr="004F7EEB" w:rsidRDefault="004F7EEB" w:rsidP="004F7EEB">
      <w:pPr>
        <w:pStyle w:val="ListParagraph"/>
        <w:numPr>
          <w:ilvl w:val="1"/>
          <w:numId w:val="3"/>
        </w:numPr>
        <w:spacing w:after="0" w:line="240" w:lineRule="auto"/>
        <w:rPr>
          <w:sz w:val="18"/>
          <w:szCs w:val="18"/>
        </w:rPr>
      </w:pPr>
      <w:r w:rsidRPr="004F7EEB">
        <w:rPr>
          <w:sz w:val="18"/>
          <w:szCs w:val="18"/>
        </w:rPr>
        <w:t xml:space="preserve">Revision: CT.gov – Common Rule (Revised):  A version of the Informed Consent used to consent the subject must be posted after enrollment closes, but no later than 60 days after the last study visit. This posting does not need to be updated with new versions of the consent. Applies to clinical trials initiated on/after Jan 21, 2019 that receive federal funding or support (including from our CTSA grant) </w:t>
      </w:r>
    </w:p>
    <w:p w14:paraId="60AB23B9" w14:textId="77777777" w:rsidR="004F7EEB" w:rsidRDefault="004F7EEB" w:rsidP="004F7EEB">
      <w:pPr>
        <w:spacing w:after="0" w:line="480" w:lineRule="auto"/>
        <w:ind w:left="1080"/>
      </w:pPr>
    </w:p>
    <w:p w14:paraId="0AB00436" w14:textId="7A101B41" w:rsidR="004F7EEB" w:rsidRDefault="004F7EEB" w:rsidP="004F7EEB">
      <w:pPr>
        <w:pStyle w:val="ListParagraph"/>
        <w:numPr>
          <w:ilvl w:val="0"/>
          <w:numId w:val="3"/>
        </w:numPr>
        <w:spacing w:after="0" w:line="480" w:lineRule="auto"/>
      </w:pPr>
      <w:r>
        <w:t xml:space="preserve">COMIRB </w:t>
      </w:r>
      <w:r w:rsidR="009246E3">
        <w:t xml:space="preserve">guidance and policies – click   </w:t>
      </w:r>
      <w:hyperlink r:id="rId22" w:history="1">
        <w:r w:rsidR="009246E3" w:rsidRPr="009246E3">
          <w:rPr>
            <w:rStyle w:val="Hyperlink"/>
          </w:rPr>
          <w:t>HERE</w:t>
        </w:r>
      </w:hyperlink>
      <w:r w:rsidR="009246E3">
        <w:t xml:space="preserve">  to access </w:t>
      </w:r>
      <w:r>
        <w:t xml:space="preserve">  </w:t>
      </w:r>
    </w:p>
    <w:p w14:paraId="1D9E5367" w14:textId="544A9BAB" w:rsidR="004F7EEB" w:rsidRDefault="004F7EEB" w:rsidP="004F7EEB">
      <w:pPr>
        <w:pStyle w:val="ListParagraph"/>
        <w:numPr>
          <w:ilvl w:val="0"/>
          <w:numId w:val="3"/>
        </w:numPr>
        <w:spacing w:after="0" w:line="480" w:lineRule="auto"/>
      </w:pPr>
      <w:r>
        <w:t xml:space="preserve">Electronic Consent </w:t>
      </w:r>
      <w:r w:rsidR="00A44E95">
        <w:t xml:space="preserve">– </w:t>
      </w:r>
      <w:r w:rsidR="00A44E95" w:rsidRPr="00A44E95">
        <w:rPr>
          <w:color w:val="2E74B5" w:themeColor="accent5" w:themeShade="BF"/>
        </w:rPr>
        <w:t xml:space="preserve">see attachment </w:t>
      </w:r>
    </w:p>
    <w:p w14:paraId="331AE717" w14:textId="0BDB6AAC" w:rsidR="004F7EEB" w:rsidRDefault="004F7EEB" w:rsidP="004F7EEB">
      <w:pPr>
        <w:pStyle w:val="ListParagraph"/>
        <w:numPr>
          <w:ilvl w:val="0"/>
          <w:numId w:val="3"/>
        </w:numPr>
        <w:spacing w:after="0" w:line="480" w:lineRule="auto"/>
      </w:pPr>
      <w:r>
        <w:t>Health Literacy</w:t>
      </w:r>
    </w:p>
    <w:p w14:paraId="7B97EF72" w14:textId="0729C6AA" w:rsidR="0000421E" w:rsidRDefault="0000421E" w:rsidP="0000421E">
      <w:pPr>
        <w:pStyle w:val="ListParagraph"/>
        <w:numPr>
          <w:ilvl w:val="1"/>
          <w:numId w:val="3"/>
        </w:numPr>
        <w:spacing w:after="0" w:line="480" w:lineRule="auto"/>
      </w:pPr>
      <w:r>
        <w:t xml:space="preserve">Click </w:t>
      </w:r>
      <w:hyperlink r:id="rId23" w:history="1">
        <w:r w:rsidRPr="0000421E">
          <w:rPr>
            <w:rStyle w:val="Hyperlink"/>
          </w:rPr>
          <w:t>HERE</w:t>
        </w:r>
      </w:hyperlink>
      <w:r>
        <w:t xml:space="preserve">  for HRSA Health Literacy Information  </w:t>
      </w:r>
    </w:p>
    <w:p w14:paraId="68B71A8F" w14:textId="35C0260D" w:rsidR="00BD6713" w:rsidRDefault="00BD6713" w:rsidP="0000421E">
      <w:pPr>
        <w:pStyle w:val="ListParagraph"/>
        <w:numPr>
          <w:ilvl w:val="1"/>
          <w:numId w:val="3"/>
        </w:numPr>
        <w:spacing w:after="0" w:line="480" w:lineRule="auto"/>
      </w:pPr>
      <w:r>
        <w:t xml:space="preserve">Click </w:t>
      </w:r>
      <w:hyperlink r:id="rId24" w:history="1">
        <w:r w:rsidRPr="00BD6713">
          <w:rPr>
            <w:rStyle w:val="Hyperlink"/>
          </w:rPr>
          <w:t>HERE</w:t>
        </w:r>
      </w:hyperlink>
      <w:r>
        <w:t xml:space="preserve">  for tips on readability  </w:t>
      </w:r>
    </w:p>
    <w:p w14:paraId="2D2C764A" w14:textId="3125E254" w:rsidR="004F7EEB" w:rsidRDefault="004F7EEB" w:rsidP="004F7EEB">
      <w:pPr>
        <w:pStyle w:val="ListParagraph"/>
        <w:numPr>
          <w:ilvl w:val="0"/>
          <w:numId w:val="3"/>
        </w:numPr>
        <w:spacing w:after="0" w:line="480" w:lineRule="auto"/>
      </w:pPr>
      <w:r>
        <w:t>Secondary Research</w:t>
      </w:r>
      <w:r w:rsidR="00B00F5B">
        <w:t xml:space="preserve"> Application</w:t>
      </w:r>
      <w:r>
        <w:t xml:space="preserve"> </w:t>
      </w:r>
      <w:r w:rsidR="00A44E95">
        <w:t xml:space="preserve">– </w:t>
      </w:r>
      <w:r w:rsidR="00A44E95" w:rsidRPr="00A44E95">
        <w:rPr>
          <w:color w:val="2E74B5" w:themeColor="accent5" w:themeShade="BF"/>
        </w:rPr>
        <w:t>see attachment</w:t>
      </w:r>
      <w:r w:rsidR="00B00F5B">
        <w:rPr>
          <w:color w:val="2E74B5" w:themeColor="accent5" w:themeShade="BF"/>
        </w:rPr>
        <w:t xml:space="preserve">      </w:t>
      </w:r>
      <w:bookmarkStart w:id="0" w:name="_GoBack"/>
      <w:bookmarkEnd w:id="0"/>
      <w:proofErr w:type="spellStart"/>
      <w:r w:rsidR="00B00F5B">
        <w:t>Seconday</w:t>
      </w:r>
      <w:proofErr w:type="spellEnd"/>
      <w:r w:rsidR="00B00F5B">
        <w:t xml:space="preserve"> Research P</w:t>
      </w:r>
      <w:r w:rsidR="00B00F5B" w:rsidRPr="00B00F5B">
        <w:t xml:space="preserve">olicy </w:t>
      </w:r>
      <w:r w:rsidR="00B00F5B">
        <w:t xml:space="preserve">- </w:t>
      </w:r>
      <w:r w:rsidR="00B00F5B">
        <w:rPr>
          <w:color w:val="2E74B5" w:themeColor="accent5" w:themeShade="BF"/>
        </w:rPr>
        <w:t xml:space="preserve">see attachment </w:t>
      </w:r>
      <w:r w:rsidR="00A44E95" w:rsidRPr="00A44E95">
        <w:rPr>
          <w:color w:val="2E74B5" w:themeColor="accent5" w:themeShade="BF"/>
        </w:rPr>
        <w:t xml:space="preserve"> </w:t>
      </w:r>
    </w:p>
    <w:p w14:paraId="66A14B05" w14:textId="5D0CEC0F" w:rsidR="0039376E" w:rsidRDefault="004F7EEB" w:rsidP="00331FF1">
      <w:pPr>
        <w:pStyle w:val="ListParagraph"/>
        <w:numPr>
          <w:ilvl w:val="0"/>
          <w:numId w:val="3"/>
        </w:numPr>
        <w:spacing w:after="0" w:line="480" w:lineRule="auto"/>
      </w:pPr>
      <w:r>
        <w:t xml:space="preserve">SOP for Informed Consent </w:t>
      </w:r>
      <w:r w:rsidR="00A44E95">
        <w:t xml:space="preserve">– </w:t>
      </w:r>
      <w:r w:rsidR="00A44E95" w:rsidRPr="009246E3">
        <w:rPr>
          <w:color w:val="2E74B5" w:themeColor="accent5" w:themeShade="BF"/>
        </w:rPr>
        <w:t xml:space="preserve">see attachment </w:t>
      </w:r>
      <w:r w:rsidR="00BD6713" w:rsidRPr="009246E3">
        <w:rPr>
          <w:color w:val="2E74B5" w:themeColor="accent5" w:themeShade="BF"/>
        </w:rPr>
        <w:t xml:space="preserve"> </w:t>
      </w:r>
    </w:p>
    <w:sectPr w:rsidR="0039376E">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1C0E4" w14:textId="77777777" w:rsidR="003E67A6" w:rsidRDefault="003E67A6" w:rsidP="004F7EEB">
      <w:pPr>
        <w:spacing w:after="0" w:line="240" w:lineRule="auto"/>
      </w:pPr>
      <w:r>
        <w:separator/>
      </w:r>
    </w:p>
  </w:endnote>
  <w:endnote w:type="continuationSeparator" w:id="0">
    <w:p w14:paraId="6E6B474D" w14:textId="77777777" w:rsidR="003E67A6" w:rsidRDefault="003E67A6" w:rsidP="004F7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6AAFE" w14:textId="77777777" w:rsidR="003E67A6" w:rsidRDefault="003E67A6" w:rsidP="004F7EEB">
      <w:pPr>
        <w:spacing w:after="0" w:line="240" w:lineRule="auto"/>
      </w:pPr>
      <w:r>
        <w:separator/>
      </w:r>
    </w:p>
  </w:footnote>
  <w:footnote w:type="continuationSeparator" w:id="0">
    <w:p w14:paraId="2855B8C6" w14:textId="77777777" w:rsidR="003E67A6" w:rsidRDefault="003E67A6" w:rsidP="004F7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06A14" w14:textId="77777777" w:rsidR="004F7EEB" w:rsidRDefault="004F7EEB" w:rsidP="004F7EEB">
    <w:pPr>
      <w:pStyle w:val="Heading2"/>
      <w:jc w:val="center"/>
      <w:rPr>
        <w:noProof/>
      </w:rPr>
    </w:pPr>
    <w:r>
      <w:rPr>
        <w:noProof/>
      </w:rPr>
      <w:t>Resources for CTSA2 Course</w:t>
    </w:r>
  </w:p>
  <w:p w14:paraId="2CAAC32F" w14:textId="77777777" w:rsidR="004F7EEB" w:rsidRDefault="004F7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D4933"/>
    <w:multiLevelType w:val="hybridMultilevel"/>
    <w:tmpl w:val="6C322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AB8AF02">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E3A29"/>
    <w:multiLevelType w:val="hybridMultilevel"/>
    <w:tmpl w:val="EDFEBEFA"/>
    <w:lvl w:ilvl="0" w:tplc="0409000F">
      <w:start w:val="1"/>
      <w:numFmt w:val="decimal"/>
      <w:lvlText w:val="%1."/>
      <w:lvlJc w:val="left"/>
      <w:pPr>
        <w:ind w:left="766" w:hanging="360"/>
      </w:pPr>
    </w:lvl>
    <w:lvl w:ilvl="1" w:tplc="04090019">
      <w:start w:val="1"/>
      <w:numFmt w:val="lowerLetter"/>
      <w:lvlText w:val="%2."/>
      <w:lvlJc w:val="left"/>
      <w:pPr>
        <w:ind w:left="1486" w:hanging="360"/>
      </w:pPr>
    </w:lvl>
    <w:lvl w:ilvl="2" w:tplc="0409001B">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 w15:restartNumberingAfterBreak="0">
    <w:nsid w:val="6B8803E9"/>
    <w:multiLevelType w:val="hybridMultilevel"/>
    <w:tmpl w:val="60B2F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6E"/>
    <w:rsid w:val="00002868"/>
    <w:rsid w:val="0000421E"/>
    <w:rsid w:val="000A0BAE"/>
    <w:rsid w:val="00141201"/>
    <w:rsid w:val="001B51D4"/>
    <w:rsid w:val="001B76AE"/>
    <w:rsid w:val="001C7622"/>
    <w:rsid w:val="001E179E"/>
    <w:rsid w:val="00295282"/>
    <w:rsid w:val="002B7EA2"/>
    <w:rsid w:val="002F0C32"/>
    <w:rsid w:val="00331FF1"/>
    <w:rsid w:val="00386593"/>
    <w:rsid w:val="0039376E"/>
    <w:rsid w:val="003B4F77"/>
    <w:rsid w:val="003E67A6"/>
    <w:rsid w:val="00447424"/>
    <w:rsid w:val="004B5D31"/>
    <w:rsid w:val="004E6DD7"/>
    <w:rsid w:val="004F7EEB"/>
    <w:rsid w:val="00515055"/>
    <w:rsid w:val="00551F1F"/>
    <w:rsid w:val="005E7838"/>
    <w:rsid w:val="006E77A7"/>
    <w:rsid w:val="00737AAA"/>
    <w:rsid w:val="0083145D"/>
    <w:rsid w:val="008956DE"/>
    <w:rsid w:val="008B6AF6"/>
    <w:rsid w:val="009246E3"/>
    <w:rsid w:val="00930CDA"/>
    <w:rsid w:val="00963A86"/>
    <w:rsid w:val="009837FA"/>
    <w:rsid w:val="00995A37"/>
    <w:rsid w:val="009F5CB2"/>
    <w:rsid w:val="00A44E95"/>
    <w:rsid w:val="00B00F5B"/>
    <w:rsid w:val="00B27F46"/>
    <w:rsid w:val="00BA5766"/>
    <w:rsid w:val="00BD6713"/>
    <w:rsid w:val="00C209AD"/>
    <w:rsid w:val="00CB7E42"/>
    <w:rsid w:val="00CD3979"/>
    <w:rsid w:val="00DB4C18"/>
    <w:rsid w:val="00DE1B08"/>
    <w:rsid w:val="00E3259F"/>
    <w:rsid w:val="00F37015"/>
    <w:rsid w:val="00F42DA9"/>
    <w:rsid w:val="00F827B9"/>
    <w:rsid w:val="00FF1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FFE82"/>
  <w15:chartTrackingRefBased/>
  <w15:docId w15:val="{4BA6F1EB-C9A4-4D8E-9CE8-2F6CB2F2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E78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45D"/>
    <w:rPr>
      <w:rFonts w:ascii="Segoe UI" w:hAnsi="Segoe UI" w:cs="Segoe UI"/>
      <w:sz w:val="18"/>
      <w:szCs w:val="18"/>
    </w:rPr>
  </w:style>
  <w:style w:type="paragraph" w:styleId="ListParagraph">
    <w:name w:val="List Paragraph"/>
    <w:basedOn w:val="Normal"/>
    <w:uiPriority w:val="34"/>
    <w:qFormat/>
    <w:rsid w:val="00C209AD"/>
    <w:pPr>
      <w:ind w:left="720"/>
      <w:contextualSpacing/>
    </w:pPr>
  </w:style>
  <w:style w:type="character" w:styleId="Hyperlink">
    <w:name w:val="Hyperlink"/>
    <w:basedOn w:val="DefaultParagraphFont"/>
    <w:uiPriority w:val="99"/>
    <w:unhideWhenUsed/>
    <w:rsid w:val="00C209AD"/>
    <w:rPr>
      <w:color w:val="0563C1" w:themeColor="hyperlink"/>
      <w:u w:val="single"/>
    </w:rPr>
  </w:style>
  <w:style w:type="character" w:styleId="UnresolvedMention">
    <w:name w:val="Unresolved Mention"/>
    <w:basedOn w:val="DefaultParagraphFont"/>
    <w:uiPriority w:val="99"/>
    <w:semiHidden/>
    <w:unhideWhenUsed/>
    <w:rsid w:val="00C209AD"/>
    <w:rPr>
      <w:color w:val="605E5C"/>
      <w:shd w:val="clear" w:color="auto" w:fill="E1DFDD"/>
    </w:rPr>
  </w:style>
  <w:style w:type="character" w:styleId="FollowedHyperlink">
    <w:name w:val="FollowedHyperlink"/>
    <w:basedOn w:val="DefaultParagraphFont"/>
    <w:uiPriority w:val="99"/>
    <w:semiHidden/>
    <w:unhideWhenUsed/>
    <w:rsid w:val="009837FA"/>
    <w:rPr>
      <w:color w:val="954F72" w:themeColor="followedHyperlink"/>
      <w:u w:val="single"/>
    </w:rPr>
  </w:style>
  <w:style w:type="character" w:customStyle="1" w:styleId="Heading2Char">
    <w:name w:val="Heading 2 Char"/>
    <w:basedOn w:val="DefaultParagraphFont"/>
    <w:link w:val="Heading2"/>
    <w:uiPriority w:val="9"/>
    <w:rsid w:val="005E783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F7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EEB"/>
  </w:style>
  <w:style w:type="paragraph" w:styleId="Footer">
    <w:name w:val="footer"/>
    <w:basedOn w:val="Normal"/>
    <w:link w:val="FooterChar"/>
    <w:uiPriority w:val="99"/>
    <w:unhideWhenUsed/>
    <w:rsid w:val="004F7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denver.edu/research/Research%20Administration%20Documents/Required-Elements-of-Informed-Consent.pdf" TargetMode="External"/><Relationship Id="rId13" Type="http://schemas.openxmlformats.org/officeDocument/2006/relationships/hyperlink" Target="http://www.ucdenver.edu/research/Research%20Administration%20Documents/CG-11-Children-Table.pdf" TargetMode="External"/><Relationship Id="rId18" Type="http://schemas.openxmlformats.org/officeDocument/2006/relationships/hyperlink" Target="http://www.ucdenver.edu/research/Research%20Administration%20Documents/CG-12-Assent.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www.hhs.gov/ohrp/regulations-and-policy/regulations/45-cfr-46/index.html" TargetMode="External"/><Relationship Id="rId12" Type="http://schemas.openxmlformats.org/officeDocument/2006/relationships/hyperlink" Target="http://www.ucdenver.edu/research/comirb/guidance/Pages/default.aspx&#8203;" TargetMode="External"/><Relationship Id="rId17" Type="http://schemas.openxmlformats.org/officeDocument/2006/relationships/hyperlink" Target="https://research.cuanschutz.edu/comirb/home/forms/short-form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research.cuanschutz.edu/comirb/home/forms/comirb-forms" TargetMode="External"/><Relationship Id="rId20" Type="http://schemas.openxmlformats.org/officeDocument/2006/relationships/hyperlink" Target="http://www.ucdenver.edu/research/Research%20Administration%20Documents/COMIRB-Policy-and-Procedures-Documen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fr.gov/cgi-bin/retrieveECFR?gp=&amp;SID=83cd09e1c0f5c6937cd9d7513160fc3f&amp;pitd=20180719&amp;n=pt45.1.46&amp;r=PART&amp;ty=HTML" TargetMode="External"/><Relationship Id="rId24" Type="http://schemas.openxmlformats.org/officeDocument/2006/relationships/hyperlink" Target="https://www.nova.edu/irb/manual/readability-level-of-consent-documents.pdf" TargetMode="External"/><Relationship Id="rId5" Type="http://schemas.openxmlformats.org/officeDocument/2006/relationships/footnotes" Target="footnotes.xml"/><Relationship Id="rId15" Type="http://schemas.openxmlformats.org/officeDocument/2006/relationships/hyperlink" Target="https://thesource.uchealth.org/departments/ResearchAdmin/Pages/default.aspx" TargetMode="External"/><Relationship Id="rId23" Type="http://schemas.openxmlformats.org/officeDocument/2006/relationships/hyperlink" Target="https://www.hrsa.gov/about/organization/bureaus/ohe/health-literacy/index.html" TargetMode="External"/><Relationship Id="rId10" Type="http://schemas.openxmlformats.org/officeDocument/2006/relationships/hyperlink" Target="http://www.ucdenver.edu/research/Research%20Administration%20Documents/CF-172_Prisoners.pdf" TargetMode="External"/><Relationship Id="rId19" Type="http://schemas.openxmlformats.org/officeDocument/2006/relationships/hyperlink" Target="http://www.ucdenver.edu/research/Research%20Administration%20Documents/Waivers%20of%20Consent%2c%20Documentation%20of%20Consent%2c%20and%20HIPAA%20Authorization.docx" TargetMode="External"/><Relationship Id="rId4" Type="http://schemas.openxmlformats.org/officeDocument/2006/relationships/webSettings" Target="webSettings.xml"/><Relationship Id="rId9" Type="http://schemas.openxmlformats.org/officeDocument/2006/relationships/hyperlink" Target="https://www.ecfr.gov/cgi-bin/retrieveECFR?gp=&amp;SID=83cd09e1c0f5c6937cd9d7513160fc3f&amp;pitd=20180719&amp;n=pt45.1.46&amp;r=PART&amp;ty=HTML" TargetMode="External"/><Relationship Id="rId14" Type="http://schemas.openxmlformats.org/officeDocument/2006/relationships/hyperlink" Target="http://www.ucdenver.edu/research/Research%20Administration%20Documents/COMIRB-Policy-and-Procedures-Document.pdf" TargetMode="External"/><Relationship Id="rId22" Type="http://schemas.openxmlformats.org/officeDocument/2006/relationships/hyperlink" Target="https://research.cuanschutz.edu/comirb/home/guidance-and-polici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Sneddon</dc:creator>
  <cp:keywords/>
  <dc:description/>
  <cp:lastModifiedBy>Sneddon, Cynthia</cp:lastModifiedBy>
  <cp:revision>30</cp:revision>
  <cp:lastPrinted>2020-02-09T22:05:00Z</cp:lastPrinted>
  <dcterms:created xsi:type="dcterms:W3CDTF">2020-02-09T21:53:00Z</dcterms:created>
  <dcterms:modified xsi:type="dcterms:W3CDTF">2020-05-12T16:23:00Z</dcterms:modified>
</cp:coreProperties>
</file>