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spacing w:line="20" w:lineRule="exact" w:before="0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3.050pt;height:.5pt;mso-position-horizontal-relative:char;mso-position-vertical-relative:line" coordorigin="0,0" coordsize="10861,10">
            <v:rect style="position:absolute;left:0;top:0;width:10861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29"/>
        <w:ind w:left="3254" w:right="3218"/>
        <w:jc w:val="center"/>
      </w:pPr>
      <w:bookmarkStart w:name="DATA MANAGEMENT AND SHARING PLAN" w:id="1"/>
      <w:bookmarkEnd w:id="1"/>
      <w:r>
        <w:rPr>
          <w:b w:val="0"/>
        </w:rPr>
      </w:r>
      <w:r>
        <w:rPr/>
        <w:t>DATA</w:t>
      </w:r>
      <w:r>
        <w:rPr>
          <w:spacing w:val="-6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SHARING</w:t>
      </w:r>
      <w:r>
        <w:rPr>
          <w:spacing w:val="-5"/>
        </w:rPr>
        <w:t> </w:t>
      </w:r>
      <w:r>
        <w:rPr/>
        <w:t>PLAN</w:t>
      </w:r>
    </w:p>
    <w:p>
      <w:pPr>
        <w:spacing w:before="41"/>
        <w:ind w:left="140" w:right="247" w:firstLine="0"/>
        <w:jc w:val="left"/>
        <w:rPr>
          <w:sz w:val="16"/>
        </w:rPr>
      </w:pPr>
      <w:r>
        <w:rPr>
          <w:sz w:val="16"/>
        </w:rPr>
        <w:t>If any of the proposed research in the application involves the generation of scientific data, this application is subject to the NIH Policy for Data</w:t>
      </w:r>
      <w:r>
        <w:rPr>
          <w:spacing w:val="1"/>
          <w:sz w:val="16"/>
        </w:rPr>
        <w:t> </w:t>
      </w:r>
      <w:r>
        <w:rPr>
          <w:sz w:val="16"/>
        </w:rPr>
        <w:t>Management and Sharing and requires submission of a Data Management and Sharing Plan. If the proposed research in the application will generate</w:t>
      </w:r>
      <w:r>
        <w:rPr>
          <w:spacing w:val="1"/>
          <w:sz w:val="16"/>
        </w:rPr>
        <w:t> </w:t>
      </w:r>
      <w:r>
        <w:rPr>
          <w:sz w:val="16"/>
        </w:rPr>
        <w:t>large-scale genomic data, the Genomic Data Sharing Policy also applies and should be addressed in this Plan. Refer to the detailed instructions in the</w:t>
      </w:r>
      <w:r>
        <w:rPr>
          <w:spacing w:val="-42"/>
          <w:sz w:val="16"/>
        </w:rPr>
        <w:t> </w:t>
      </w:r>
      <w:r>
        <w:rPr>
          <w:sz w:val="16"/>
        </w:rPr>
        <w:t>application</w:t>
      </w:r>
      <w:r>
        <w:rPr>
          <w:spacing w:val="-4"/>
          <w:sz w:val="16"/>
        </w:rPr>
        <w:t> </w:t>
      </w:r>
      <w:r>
        <w:rPr>
          <w:sz w:val="16"/>
        </w:rPr>
        <w:t>guide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developing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plan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well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additional</w:t>
      </w:r>
      <w:r>
        <w:rPr>
          <w:spacing w:val="-2"/>
          <w:sz w:val="16"/>
        </w:rPr>
        <w:t> </w:t>
      </w:r>
      <w:r>
        <w:rPr>
          <w:sz w:val="16"/>
        </w:rPr>
        <w:t>guidance</w:t>
      </w:r>
      <w:r>
        <w:rPr>
          <w:spacing w:val="-4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hyperlink r:id="rId6">
        <w:r>
          <w:rPr>
            <w:color w:val="0000FF"/>
            <w:sz w:val="16"/>
            <w:u w:val="single" w:color="0000FF"/>
          </w:rPr>
          <w:t>sharing.nih.gov</w:t>
        </w:r>
        <w:r>
          <w:rPr>
            <w:sz w:val="16"/>
          </w:rPr>
          <w:t>.</w:t>
        </w:r>
      </w:hyperlink>
      <w:r>
        <w:rPr>
          <w:spacing w:val="38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Plan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recommended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exceed</w:t>
      </w:r>
      <w:r>
        <w:rPr>
          <w:spacing w:val="-2"/>
          <w:sz w:val="16"/>
        </w:rPr>
        <w:t> </w:t>
      </w:r>
      <w:r>
        <w:rPr>
          <w:sz w:val="16"/>
        </w:rPr>
        <w:t>two</w:t>
      </w:r>
      <w:r>
        <w:rPr>
          <w:spacing w:val="-3"/>
          <w:sz w:val="16"/>
        </w:rPr>
        <w:t> </w:t>
      </w:r>
      <w:r>
        <w:rPr>
          <w:sz w:val="16"/>
        </w:rPr>
        <w:t>pages.</w:t>
      </w:r>
    </w:p>
    <w:p>
      <w:pPr>
        <w:spacing w:line="184" w:lineRule="exact" w:before="0"/>
        <w:ind w:left="140" w:right="0" w:firstLine="0"/>
        <w:jc w:val="left"/>
        <w:rPr>
          <w:rFonts w:ascii="Arial" w:hAnsi="Arial"/>
          <w:i/>
          <w:sz w:val="16"/>
        </w:rPr>
      </w:pPr>
      <w:r>
        <w:rPr>
          <w:sz w:val="16"/>
        </w:rPr>
        <w:t>Text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italics</w:t>
      </w:r>
      <w:r>
        <w:rPr>
          <w:spacing w:val="-3"/>
          <w:sz w:val="16"/>
        </w:rPr>
        <w:t> </w:t>
      </w:r>
      <w:r>
        <w:rPr>
          <w:sz w:val="16"/>
        </w:rPr>
        <w:t>should</w:t>
      </w:r>
      <w:r>
        <w:rPr>
          <w:spacing w:val="-4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deleted.</w:t>
      </w:r>
      <w:r>
        <w:rPr>
          <w:spacing w:val="-4"/>
          <w:sz w:val="16"/>
        </w:rPr>
        <w:t> </w:t>
      </w:r>
      <w:r>
        <w:rPr>
          <w:sz w:val="16"/>
        </w:rPr>
        <w:t>There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4"/>
          <w:sz w:val="16"/>
        </w:rPr>
        <w:t> </w:t>
      </w:r>
      <w:r>
        <w:rPr>
          <w:sz w:val="16"/>
        </w:rPr>
        <w:t>“form</w:t>
      </w:r>
      <w:r>
        <w:rPr>
          <w:spacing w:val="-2"/>
          <w:sz w:val="16"/>
        </w:rPr>
        <w:t> </w:t>
      </w:r>
      <w:r>
        <w:rPr>
          <w:sz w:val="16"/>
        </w:rPr>
        <w:t>page”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Data</w:t>
      </w:r>
      <w:r>
        <w:rPr>
          <w:spacing w:val="-4"/>
          <w:sz w:val="16"/>
        </w:rPr>
        <w:t> </w:t>
      </w:r>
      <w:r>
        <w:rPr>
          <w:sz w:val="16"/>
        </w:rPr>
        <w:t>Management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Sharing</w:t>
      </w:r>
      <w:r>
        <w:rPr>
          <w:spacing w:val="-4"/>
          <w:sz w:val="16"/>
        </w:rPr>
        <w:t> </w:t>
      </w:r>
      <w:r>
        <w:rPr>
          <w:sz w:val="16"/>
        </w:rPr>
        <w:t>Plan.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DMS</w:t>
      </w:r>
      <w:r>
        <w:rPr>
          <w:spacing w:val="-3"/>
          <w:sz w:val="16"/>
        </w:rPr>
        <w:t> </w:t>
      </w:r>
      <w:r>
        <w:rPr>
          <w:sz w:val="16"/>
        </w:rPr>
        <w:t>Plan</w:t>
      </w:r>
      <w:r>
        <w:rPr>
          <w:spacing w:val="-4"/>
          <w:sz w:val="16"/>
        </w:rPr>
        <w:t> </w:t>
      </w:r>
      <w:r>
        <w:rPr>
          <w:sz w:val="16"/>
        </w:rPr>
        <w:t>may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4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rFonts w:ascii="Arial" w:hAnsi="Arial"/>
          <w:i/>
          <w:sz w:val="16"/>
        </w:rPr>
        <w:t>format</w:t>
      </w:r>
    </w:p>
    <w:p>
      <w:pPr>
        <w:spacing w:before="1"/>
        <w:ind w:left="140" w:right="0" w:firstLine="0"/>
        <w:jc w:val="left"/>
        <w:rPr>
          <w:sz w:val="16"/>
        </w:rPr>
      </w:pPr>
      <w:r>
        <w:rPr>
          <w:sz w:val="16"/>
        </w:rPr>
        <w:t>shown</w:t>
      </w:r>
      <w:r>
        <w:rPr>
          <w:spacing w:val="-6"/>
          <w:sz w:val="16"/>
        </w:rPr>
        <w:t> </w:t>
      </w:r>
      <w:r>
        <w:rPr>
          <w:sz w:val="16"/>
        </w:rPr>
        <w:t>below.</w:t>
      </w:r>
    </w:p>
    <w:p>
      <w:pPr>
        <w:spacing w:before="39"/>
        <w:ind w:left="139" w:right="137" w:firstLine="0"/>
        <w:jc w:val="left"/>
        <w:rPr>
          <w:sz w:val="16"/>
        </w:rPr>
      </w:pPr>
      <w:r>
        <w:rPr/>
        <w:pict>
          <v:rect style="position:absolute;margin-left:34.5pt;margin-top:63.097076pt;width:543.000977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16"/>
        </w:rPr>
        <w:t>Public reporting burden for this collection of information is estimated to average 2 hours per response, including the time for reviewing instructions,</w:t>
      </w:r>
      <w:r>
        <w:rPr>
          <w:spacing w:val="1"/>
          <w:sz w:val="16"/>
        </w:rPr>
        <w:t> </w:t>
      </w:r>
      <w:r>
        <w:rPr>
          <w:sz w:val="16"/>
        </w:rPr>
        <w:t>searching</w:t>
      </w:r>
      <w:r>
        <w:rPr>
          <w:spacing w:val="-1"/>
          <w:sz w:val="16"/>
        </w:rPr>
        <w:t> </w:t>
      </w:r>
      <w:r>
        <w:rPr>
          <w:sz w:val="16"/>
        </w:rPr>
        <w:t>existing data sources, gathering, and maintaining the data</w:t>
      </w:r>
      <w:r>
        <w:rPr>
          <w:spacing w:val="1"/>
          <w:sz w:val="16"/>
        </w:rPr>
        <w:t> </w:t>
      </w:r>
      <w:r>
        <w:rPr>
          <w:sz w:val="16"/>
        </w:rPr>
        <w:t>needed, and</w:t>
      </w:r>
      <w:r>
        <w:rPr>
          <w:spacing w:val="2"/>
          <w:sz w:val="16"/>
        </w:rPr>
        <w:t> </w:t>
      </w:r>
      <w:r>
        <w:rPr>
          <w:sz w:val="16"/>
        </w:rPr>
        <w:t>completing and reviewing the collection of</w:t>
      </w:r>
      <w:r>
        <w:rPr>
          <w:spacing w:val="-1"/>
          <w:sz w:val="16"/>
        </w:rPr>
        <w:t> </w:t>
      </w:r>
      <w:r>
        <w:rPr>
          <w:sz w:val="16"/>
        </w:rPr>
        <w:t>information. An agency</w:t>
      </w:r>
      <w:r>
        <w:rPr>
          <w:spacing w:val="1"/>
          <w:sz w:val="16"/>
        </w:rPr>
        <w:t> </w:t>
      </w:r>
      <w:r>
        <w:rPr>
          <w:sz w:val="16"/>
        </w:rPr>
        <w:t>may not conduct or sponsor, and a person is not required to respond to, a collection of information unless it displays a currently valid OMB control</w:t>
      </w:r>
      <w:r>
        <w:rPr>
          <w:spacing w:val="1"/>
          <w:sz w:val="16"/>
        </w:rPr>
        <w:t> </w:t>
      </w:r>
      <w:r>
        <w:rPr>
          <w:sz w:val="16"/>
        </w:rPr>
        <w:t>number. Send comments regarding this burden estimate or any other aspect of this collection of information, including suggestions for reducing this</w:t>
      </w:r>
      <w:r>
        <w:rPr>
          <w:spacing w:val="1"/>
          <w:sz w:val="16"/>
        </w:rPr>
        <w:t> </w:t>
      </w:r>
      <w:r>
        <w:rPr>
          <w:sz w:val="16"/>
        </w:rPr>
        <w:t>burden, to: NIH, Project Clearance Branch, 6705 Rockledge Drive, MSC 7974, Bethesda, MD 20892-7974, ATTN: PRA (0925-0001 and 0925-0002). Do</w:t>
      </w:r>
      <w:r>
        <w:rPr>
          <w:spacing w:val="-43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return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completed</w:t>
      </w:r>
      <w:r>
        <w:rPr>
          <w:spacing w:val="-1"/>
          <w:sz w:val="16"/>
        </w:rPr>
        <w:t> </w:t>
      </w:r>
      <w:r>
        <w:rPr>
          <w:sz w:val="16"/>
        </w:rPr>
        <w:t>form to</w:t>
      </w:r>
      <w:r>
        <w:rPr>
          <w:spacing w:val="-1"/>
          <w:sz w:val="16"/>
        </w:rPr>
        <w:t> </w:t>
      </w:r>
      <w:r>
        <w:rPr>
          <w:sz w:val="16"/>
        </w:rPr>
        <w:t>this address.</w:t>
      </w:r>
    </w:p>
    <w:p>
      <w:pPr>
        <w:pStyle w:val="BodyText"/>
        <w:spacing w:before="0"/>
        <w:rPr>
          <w:sz w:val="15"/>
        </w:rPr>
      </w:pPr>
    </w:p>
    <w:p>
      <w:pPr>
        <w:pStyle w:val="Heading1"/>
        <w:spacing w:before="92"/>
        <w:ind w:left="140"/>
      </w:pPr>
      <w:bookmarkStart w:name="Element 1: Data Type" w:id="2"/>
      <w:bookmarkEnd w:id="2"/>
      <w:r>
        <w:rPr>
          <w:b w:val="0"/>
        </w:rPr>
      </w:r>
      <w:r>
        <w:rPr/>
        <w:t>Element</w:t>
      </w:r>
      <w:r>
        <w:rPr>
          <w:spacing w:val="-2"/>
        </w:rPr>
        <w:t> </w:t>
      </w:r>
      <w:r>
        <w:rPr/>
        <w:t>1: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Type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20" w:after="0"/>
        <w:ind w:left="859" w:right="0" w:hanging="361"/>
        <w:jc w:val="left"/>
        <w:rPr>
          <w:b/>
          <w:sz w:val="22"/>
        </w:rPr>
      </w:pPr>
      <w:bookmarkStart w:name="A. Types and amount of scientific data e" w:id="3"/>
      <w:bookmarkEnd w:id="3"/>
      <w:r>
        <w:rPr/>
      </w:r>
      <w:bookmarkStart w:name="A. Types and amount of scientific data e" w:id="4"/>
      <w:bookmarkEnd w:id="4"/>
      <w:r>
        <w:rPr>
          <w:b/>
          <w:sz w:val="22"/>
        </w:rPr>
        <w:t>T</w:t>
      </w:r>
      <w:r>
        <w:rPr>
          <w:b/>
          <w:sz w:val="22"/>
        </w:rPr>
        <w:t>ypes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amount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scientific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expected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859" w:right="145"/>
      </w:pPr>
      <w:r>
        <w:rPr/>
        <w:t>1000 participants will be enrolled in the study. Clinical data will be obtained from the site electronic</w:t>
      </w:r>
      <w:r>
        <w:rPr>
          <w:spacing w:val="1"/>
        </w:rPr>
        <w:t> </w:t>
      </w:r>
      <w:r>
        <w:rPr/>
        <w:t>health</w:t>
      </w:r>
      <w:r>
        <w:rPr>
          <w:spacing w:val="-3"/>
        </w:rPr>
        <w:t> </w:t>
      </w:r>
      <w:r>
        <w:rPr/>
        <w:t>record.</w:t>
      </w:r>
      <w:r>
        <w:rPr>
          <w:spacing w:val="-3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demographical</w:t>
      </w:r>
      <w:r>
        <w:rPr>
          <w:spacing w:val="-3"/>
        </w:rPr>
        <w:t> </w:t>
      </w:r>
      <w:r>
        <w:rPr/>
        <w:t>data,</w:t>
      </w:r>
      <w:r>
        <w:rPr>
          <w:spacing w:val="-2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status,</w:t>
      </w:r>
      <w:r>
        <w:rPr>
          <w:spacing w:val="-2"/>
        </w:rPr>
        <w:t> </w:t>
      </w:r>
      <w:r>
        <w:rPr/>
        <w:t>medical</w:t>
      </w:r>
      <w:r>
        <w:rPr>
          <w:spacing w:val="-3"/>
        </w:rPr>
        <w:t> </w:t>
      </w:r>
      <w:r>
        <w:rPr/>
        <w:t>history,</w:t>
      </w:r>
      <w:r>
        <w:rPr>
          <w:spacing w:val="-2"/>
        </w:rPr>
        <w:t> </w:t>
      </w:r>
      <w:r>
        <w:rPr/>
        <w:t>medications,</w:t>
      </w:r>
      <w:r>
        <w:rPr>
          <w:spacing w:val="-58"/>
        </w:rPr>
        <w:t> </w:t>
      </w:r>
      <w:r>
        <w:rPr/>
        <w:t>lab tests performed by the clinical site and central laboratory, and physical exams data, among other</w:t>
      </w:r>
      <w:r>
        <w:rPr>
          <w:spacing w:val="1"/>
        </w:rPr>
        <w:t> </w:t>
      </w:r>
      <w:r>
        <w:rPr/>
        <w:t>data pertinent to the study. Clinical data will be collected at varying frequencies (daily for up to 2 weeks</w:t>
      </w:r>
      <w:r>
        <w:rPr>
          <w:spacing w:val="-59"/>
        </w:rPr>
        <w:t> </w:t>
      </w:r>
      <w:r>
        <w:rPr/>
        <w:t>then monthly for up to 12 months following informed consent). Research laboratory data include results</w:t>
      </w:r>
      <w:r>
        <w:rPr>
          <w:spacing w:val="-59"/>
        </w:rPr>
        <w:t> </w:t>
      </w:r>
      <w:r>
        <w:rPr/>
        <w:t>of</w:t>
      </w:r>
      <w:r>
        <w:rPr>
          <w:spacing w:val="-1"/>
        </w:rPr>
        <w:t> </w:t>
      </w:r>
      <w:r>
        <w:rPr/>
        <w:t>cytokine</w:t>
      </w:r>
      <w:r>
        <w:rPr>
          <w:spacing w:val="-1"/>
        </w:rPr>
        <w:t> </w:t>
      </w:r>
      <w:r>
        <w:rPr/>
        <w:t>analysis and</w:t>
      </w:r>
      <w:r>
        <w:rPr>
          <w:spacing w:val="-2"/>
        </w:rPr>
        <w:t> </w:t>
      </w:r>
      <w:r>
        <w:rPr/>
        <w:t>other immunoassays from</w:t>
      </w:r>
      <w:r>
        <w:rPr>
          <w:spacing w:val="-1"/>
        </w:rPr>
        <w:t> </w:t>
      </w:r>
      <w:r>
        <w:rPr/>
        <w:t>biospecimens.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859" w:right="208"/>
      </w:pPr>
      <w:r>
        <w:rPr/>
        <w:t>Clinical and laboratory data will be captured by each site into the REDCap secure electronic data</w:t>
      </w:r>
      <w:r>
        <w:rPr>
          <w:spacing w:val="1"/>
        </w:rPr>
        <w:t> </w:t>
      </w:r>
      <w:r>
        <w:rPr/>
        <w:t>capture system (EDC). Each user will be given role specific access to the EDC, and access will be</w:t>
      </w:r>
      <w:r>
        <w:rPr>
          <w:spacing w:val="1"/>
        </w:rPr>
        <w:t> </w:t>
      </w:r>
      <w:r>
        <w:rPr/>
        <w:t>controlled by granting users individual usernames and passwords. Research-specific labs will be</w:t>
      </w:r>
      <w:r>
        <w:rPr>
          <w:spacing w:val="1"/>
        </w:rPr>
        <w:t> </w:t>
      </w:r>
      <w:r>
        <w:rPr/>
        <w:t>recorded into the Central lab’s database and merged with the final individual level data for the study</w:t>
      </w:r>
      <w:r>
        <w:rPr>
          <w:spacing w:val="1"/>
        </w:rPr>
        <w:t> </w:t>
      </w:r>
      <w:r>
        <w:rPr/>
        <w:t>prior to submitting to NICHD DASH. Clinical data from case report forms will be preserved and shared.</w:t>
      </w:r>
      <w:r>
        <w:rPr>
          <w:spacing w:val="-60"/>
        </w:rPr>
        <w:t> </w:t>
      </w:r>
      <w:r>
        <w:rPr/>
        <w:t>Clinical data will be collected at varying frequencies (daily for up to 2 weeks then monthly for up to 12</w:t>
      </w:r>
      <w:r>
        <w:rPr>
          <w:spacing w:val="1"/>
        </w:rPr>
        <w:t> </w:t>
      </w:r>
      <w:r>
        <w:rPr/>
        <w:t>months</w:t>
      </w:r>
      <w:r>
        <w:rPr>
          <w:spacing w:val="-1"/>
        </w:rPr>
        <w:t> </w:t>
      </w:r>
      <w:r>
        <w:rPr/>
        <w:t>following informed consent).</w:t>
      </w:r>
    </w:p>
    <w:p>
      <w:pPr>
        <w:pStyle w:val="BodyText"/>
        <w:rPr>
          <w:sz w:val="20"/>
        </w:rPr>
      </w:pPr>
    </w:p>
    <w:p>
      <w:pPr>
        <w:pStyle w:val="BodyText"/>
        <w:spacing w:before="0"/>
        <w:ind w:left="859"/>
      </w:pPr>
      <w:r>
        <w:rPr/>
        <w:t>Genomic data will be individual level data. Analysis of genomic DNA will link genotype to phenotypic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obtained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study.</w:t>
      </w:r>
      <w:r>
        <w:rPr>
          <w:spacing w:val="-2"/>
        </w:rPr>
        <w:t> </w:t>
      </w:r>
      <w:r>
        <w:rPr/>
        <w:t>Genomic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include</w:t>
      </w:r>
      <w:r>
        <w:rPr>
          <w:spacing w:val="-1"/>
        </w:rPr>
        <w:t> </w:t>
      </w:r>
      <w:r>
        <w:rPr/>
        <w:t>Whole</w:t>
      </w:r>
      <w:r>
        <w:rPr>
          <w:spacing w:val="-2"/>
        </w:rPr>
        <w:t> </w:t>
      </w:r>
      <w:r>
        <w:rPr/>
        <w:t>Exome</w:t>
      </w:r>
      <w:r>
        <w:rPr>
          <w:spacing w:val="-2"/>
        </w:rPr>
        <w:t> </w:t>
      </w:r>
      <w:r>
        <w:rPr/>
        <w:t>Sequencing</w:t>
      </w:r>
      <w:r>
        <w:rPr>
          <w:spacing w:val="-3"/>
        </w:rPr>
        <w:t> </w:t>
      </w:r>
      <w:r>
        <w:rPr/>
        <w:t>(WES),</w:t>
      </w:r>
      <w:r>
        <w:rPr>
          <w:spacing w:val="-58"/>
        </w:rPr>
        <w:t> </w:t>
      </w:r>
      <w:r>
        <w:rPr/>
        <w:t>shallow Whole Genome Sequencing (WGS), DNA methylation arrays (EPIC) for a total of 10 TB data.</w:t>
      </w:r>
      <w:r>
        <w:rPr>
          <w:spacing w:val="1"/>
        </w:rPr>
        <w:t> </w:t>
      </w:r>
      <w:r>
        <w:rPr/>
        <w:t>Genomic data will be obtained from a single blood draw taken on the first study visit following informed</w:t>
      </w:r>
      <w:r>
        <w:rPr>
          <w:spacing w:val="-59"/>
        </w:rPr>
        <w:t> </w:t>
      </w:r>
      <w:r>
        <w:rPr/>
        <w:t>consent.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859" w:right="0" w:hanging="361"/>
        <w:jc w:val="left"/>
      </w:pPr>
      <w:bookmarkStart w:name="B. Scientific data that will be preserve" w:id="5"/>
      <w:bookmarkEnd w:id="5"/>
      <w:r>
        <w:rPr>
          <w:b w:val="0"/>
        </w:rPr>
      </w:r>
      <w:bookmarkStart w:name="B. Scientific data that will be preserve" w:id="6"/>
      <w:bookmarkEnd w:id="6"/>
      <w:r>
        <w:rPr/>
        <w:t>Scientific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preserved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shared,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rationale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doing</w:t>
      </w:r>
      <w:r>
        <w:rPr>
          <w:spacing w:val="-1"/>
        </w:rPr>
        <w:t> </w:t>
      </w:r>
      <w:r>
        <w:rPr/>
        <w:t>so: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0"/>
        <w:ind w:left="859" w:right="136"/>
      </w:pPr>
      <w:r>
        <w:rPr/>
        <w:t>Clinical data that will be preserved and shared are demographical data, insurance status, medical</w:t>
      </w:r>
      <w:r>
        <w:rPr>
          <w:spacing w:val="1"/>
        </w:rPr>
        <w:t> </w:t>
      </w:r>
      <w:r>
        <w:rPr/>
        <w:t>history, medications, lab tests performed by the clinical site and central laboratory, and physical exams</w:t>
      </w:r>
      <w:r>
        <w:rPr>
          <w:spacing w:val="-59"/>
        </w:rPr>
        <w:t> </w:t>
      </w:r>
      <w:r>
        <w:rPr/>
        <w:t>data, among other data pertinent to the study. Clinical data from case report forms will be preserved</w:t>
      </w:r>
      <w:r>
        <w:rPr>
          <w:spacing w:val="1"/>
        </w:rPr>
        <w:t> </w:t>
      </w:r>
      <w:r>
        <w:rPr/>
        <w:t>and shared. Research laboratory data that will be preserved and shared include results of cytokine</w:t>
      </w:r>
      <w:r>
        <w:rPr>
          <w:spacing w:val="1"/>
        </w:rPr>
        <w:t> </w:t>
      </w:r>
      <w:r>
        <w:rPr/>
        <w:t>analysis and other immunoassays from biospecimens. Genomic data that will be preserved and shared</w:t>
      </w:r>
      <w:r>
        <w:rPr>
          <w:spacing w:val="-59"/>
        </w:rPr>
        <w:t> </w:t>
      </w:r>
      <w:r>
        <w:rPr/>
        <w:t>will include WES, shallow WGS, and DNA methylation arrays (EPIC). Clinical data sets will be</w:t>
      </w:r>
      <w:r>
        <w:rPr>
          <w:spacing w:val="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DASH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.CSV</w:t>
      </w:r>
      <w:r>
        <w:rPr>
          <w:spacing w:val="-2"/>
        </w:rPr>
        <w:t> </w:t>
      </w:r>
      <w:r>
        <w:rPr/>
        <w:t>format.</w:t>
      </w:r>
      <w:r>
        <w:rPr>
          <w:spacing w:val="-1"/>
        </w:rPr>
        <w:t> </w:t>
      </w:r>
      <w:r>
        <w:rPr/>
        <w:t>Genomic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sets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FASTQ,</w:t>
      </w:r>
      <w:r>
        <w:rPr>
          <w:spacing w:val="-2"/>
        </w:rPr>
        <w:t> </w:t>
      </w:r>
      <w:r>
        <w:rPr/>
        <w:t>CRAM,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VCF</w:t>
      </w:r>
      <w:r>
        <w:rPr>
          <w:spacing w:val="-58"/>
        </w:rPr>
        <w:t> </w:t>
      </w:r>
      <w:r>
        <w:rPr/>
        <w:t>formats.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859" w:right="0" w:hanging="361"/>
        <w:jc w:val="left"/>
      </w:pPr>
      <w:bookmarkStart w:name="C. Metadata, other relevant data, and as" w:id="7"/>
      <w:bookmarkEnd w:id="7"/>
      <w:r>
        <w:rPr>
          <w:b w:val="0"/>
        </w:rPr>
      </w:r>
      <w:bookmarkStart w:name="C. Metadata, other relevant data, and as" w:id="8"/>
      <w:bookmarkEnd w:id="8"/>
      <w:r>
        <w:rPr/>
        <w:t>Metadata,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data,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documentation: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1"/>
        <w:ind w:left="859"/>
      </w:pPr>
      <w:r>
        <w:rPr/>
        <w:t>The</w:t>
      </w:r>
      <w:r>
        <w:rPr>
          <w:spacing w:val="-2"/>
        </w:rPr>
        <w:t> </w:t>
      </w:r>
      <w:r>
        <w:rPr/>
        <w:t>protocol,</w:t>
      </w:r>
      <w:r>
        <w:rPr>
          <w:spacing w:val="-2"/>
        </w:rPr>
        <w:t> </w:t>
      </w:r>
      <w:r>
        <w:rPr/>
        <w:t>sample</w:t>
      </w:r>
      <w:r>
        <w:rPr>
          <w:spacing w:val="-2"/>
        </w:rPr>
        <w:t> </w:t>
      </w:r>
      <w:r>
        <w:rPr/>
        <w:t>informed</w:t>
      </w:r>
      <w:r>
        <w:rPr>
          <w:spacing w:val="-2"/>
        </w:rPr>
        <w:t> </w:t>
      </w:r>
      <w:r>
        <w:rPr/>
        <w:t>consent,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forms,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dictionary,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book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58"/>
        </w:rPr>
        <w:t> </w:t>
      </w:r>
      <w:r>
        <w:rPr/>
        <w:t>accessible in data repositories where data are shared. For data submitted to DASH, variable-level</w:t>
      </w:r>
      <w:r>
        <w:rPr>
          <w:spacing w:val="1"/>
        </w:rPr>
        <w:t> </w:t>
      </w:r>
      <w:r>
        <w:rPr/>
        <w:t>metadata will be provided using the DASH Codebook, which is a templated data dictionary, and will</w:t>
      </w:r>
      <w:r>
        <w:rPr>
          <w:spacing w:val="1"/>
        </w:rPr>
        <w:t> </w:t>
      </w:r>
      <w:r>
        <w:rPr/>
        <w:t>include details of Common Data Elements, definitions, and standards used for data collection and</w:t>
      </w:r>
      <w:r>
        <w:rPr>
          <w:spacing w:val="1"/>
        </w:rPr>
        <w:t> </w:t>
      </w:r>
      <w:r>
        <w:rPr/>
        <w:t>sharing.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593" w:top="820" w:bottom="280" w:left="580" w:right="620"/>
          <w:pgNumType w:start="1"/>
        </w:sectPr>
      </w:pPr>
    </w:p>
    <w:p>
      <w:pPr>
        <w:pStyle w:val="Heading1"/>
        <w:spacing w:before="83"/>
        <w:ind w:left="140"/>
      </w:pPr>
      <w:bookmarkStart w:name="Element 2: Related Tools, Software and/o" w:id="9"/>
      <w:bookmarkEnd w:id="9"/>
      <w:r>
        <w:rPr>
          <w:b w:val="0"/>
        </w:rPr>
      </w:r>
      <w:r>
        <w:rPr/>
        <w:t>Element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Tools,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Code:</w:t>
      </w:r>
    </w:p>
    <w:p>
      <w:pPr>
        <w:pStyle w:val="BodyText"/>
        <w:spacing w:before="119"/>
        <w:ind w:left="860" w:right="247"/>
      </w:pPr>
      <w:r>
        <w:rPr/>
        <w:t>Clinical and laboratory data will be collected in the electronic data capture system (REDCap) and</w:t>
      </w:r>
      <w:r>
        <w:rPr>
          <w:spacing w:val="1"/>
        </w:rPr>
        <w:t> </w:t>
      </w:r>
      <w:r>
        <w:rPr/>
        <w:t>analyzed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open-source</w:t>
      </w:r>
      <w:r>
        <w:rPr>
          <w:spacing w:val="-3"/>
        </w:rPr>
        <w:t> </w:t>
      </w:r>
      <w:r>
        <w:rPr/>
        <w:t>statistical</w:t>
      </w:r>
      <w:r>
        <w:rPr>
          <w:spacing w:val="-2"/>
        </w:rPr>
        <w:t> </w:t>
      </w:r>
      <w:r>
        <w:rPr/>
        <w:t>packages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R.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genomic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analysis,</w:t>
      </w:r>
      <w:r>
        <w:rPr>
          <w:spacing w:val="-3"/>
        </w:rPr>
        <w:t> </w:t>
      </w:r>
      <w:r>
        <w:rPr/>
        <w:t>containerized</w:t>
      </w:r>
      <w:r>
        <w:rPr>
          <w:spacing w:val="-2"/>
        </w:rPr>
        <w:t> </w:t>
      </w:r>
      <w:r>
        <w:rPr/>
        <w:t>open-</w:t>
      </w:r>
      <w:r>
        <w:rPr>
          <w:spacing w:val="-58"/>
        </w:rPr>
        <w:t> </w:t>
      </w:r>
      <w:r>
        <w:rPr/>
        <w:t>source workflows that are functionally equivalent to GATK pipelines will be used to call variants in this</w:t>
      </w:r>
      <w:r>
        <w:rPr>
          <w:spacing w:val="-59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or will be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through NICHD’s</w:t>
      </w:r>
      <w:r>
        <w:rPr>
          <w:spacing w:val="-1"/>
        </w:rPr>
        <w:t> </w:t>
      </w:r>
      <w:r>
        <w:rPr/>
        <w:t>GitHub</w:t>
      </w:r>
      <w:r>
        <w:rPr>
          <w:spacing w:val="1"/>
        </w:rPr>
        <w:t> </w:t>
      </w:r>
      <w:r>
        <w:rPr/>
        <w:t>repository.</w:t>
      </w:r>
    </w:p>
    <w:p>
      <w:pPr>
        <w:pStyle w:val="BodyText"/>
        <w:spacing w:before="0"/>
        <w:rPr>
          <w:sz w:val="21"/>
        </w:rPr>
      </w:pPr>
    </w:p>
    <w:p>
      <w:pPr>
        <w:pStyle w:val="Heading1"/>
        <w:ind w:left="139"/>
      </w:pPr>
      <w:bookmarkStart w:name="Element 3: Standards:" w:id="10"/>
      <w:bookmarkEnd w:id="10"/>
      <w:r>
        <w:rPr>
          <w:b w:val="0"/>
        </w:rPr>
      </w:r>
      <w:r>
        <w:rPr/>
        <w:t>Element</w:t>
      </w:r>
      <w:r>
        <w:rPr>
          <w:spacing w:val="-4"/>
        </w:rPr>
        <w:t> </w:t>
      </w:r>
      <w:r>
        <w:rPr/>
        <w:t>3:</w:t>
      </w:r>
      <w:r>
        <w:rPr>
          <w:spacing w:val="-3"/>
        </w:rPr>
        <w:t> </w:t>
      </w:r>
      <w:r>
        <w:rPr/>
        <w:t>Standards:</w:t>
      </w:r>
    </w:p>
    <w:p>
      <w:pPr>
        <w:pStyle w:val="BodyText"/>
        <w:spacing w:before="119"/>
        <w:ind w:left="859" w:right="230"/>
      </w:pPr>
      <w:r>
        <w:rPr/>
        <w:t>Data will be standardized to CDISC format whenever possible. Medical laboratory data will be</w:t>
      </w:r>
      <w:r>
        <w:rPr>
          <w:spacing w:val="1"/>
        </w:rPr>
        <w:t> </w:t>
      </w:r>
      <w:r>
        <w:rPr/>
        <w:t>standardized using LOINC. Shared data will be deidentified, and original data will be maintained at the</w:t>
      </w:r>
      <w:r>
        <w:rPr>
          <w:spacing w:val="-60"/>
        </w:rPr>
        <w:t> </w:t>
      </w:r>
      <w:r>
        <w:rPr/>
        <w:t>investigator’s institution.</w:t>
      </w:r>
      <w:r>
        <w:rPr>
          <w:spacing w:val="1"/>
        </w:rPr>
        <w:t> </w:t>
      </w:r>
      <w:r>
        <w:rPr/>
        <w:t>This research project will use the Pediatric and Pregnancy-related COVID</w:t>
      </w:r>
      <w:r>
        <w:rPr>
          <w:spacing w:val="1"/>
        </w:rPr>
        <w:t> </w:t>
      </w:r>
      <w:r>
        <w:rPr/>
        <w:t>Common Data Elements available via the Disaster Research Response (DR2) Resources Portal and</w:t>
      </w:r>
      <w:r>
        <w:rPr>
          <w:spacing w:val="1"/>
        </w:rPr>
        <w:t> </w:t>
      </w:r>
      <w:r>
        <w:rPr/>
        <w:t>the NIH Common Data Elements Repository, as required by the FOA. Genomic data will be in CRAM</w:t>
      </w:r>
      <w:r>
        <w:rPr>
          <w:spacing w:val="1"/>
        </w:rPr>
        <w:t> </w:t>
      </w:r>
      <w:r>
        <w:rPr/>
        <w:t>format</w:t>
      </w:r>
      <w:r>
        <w:rPr>
          <w:spacing w:val="-1"/>
        </w:rPr>
        <w:t> </w:t>
      </w:r>
      <w:r>
        <w:rPr/>
        <w:t>with alignment</w:t>
      </w:r>
      <w:r>
        <w:rPr>
          <w:spacing w:val="-1"/>
        </w:rPr>
        <w:t> </w:t>
      </w:r>
      <w:r>
        <w:rPr/>
        <w:t>to latest</w:t>
      </w:r>
      <w:r>
        <w:rPr>
          <w:spacing w:val="-1"/>
        </w:rPr>
        <w:t> </w:t>
      </w:r>
      <w:r>
        <w:rPr/>
        <w:t>reference genome</w:t>
      </w:r>
      <w:r>
        <w:rPr>
          <w:spacing w:val="-1"/>
        </w:rPr>
        <w:t> </w:t>
      </w:r>
      <w:r>
        <w:rPr/>
        <w:t>and variant</w:t>
      </w:r>
      <w:r>
        <w:rPr>
          <w:spacing w:val="-3"/>
        </w:rPr>
        <w:t> </w:t>
      </w:r>
      <w:r>
        <w:rPr/>
        <w:t>files in VCF</w:t>
      </w:r>
      <w:r>
        <w:rPr>
          <w:spacing w:val="-2"/>
        </w:rPr>
        <w:t> </w:t>
      </w:r>
      <w:r>
        <w:rPr/>
        <w:t>format.</w:t>
      </w:r>
    </w:p>
    <w:p>
      <w:pPr>
        <w:pStyle w:val="BodyText"/>
        <w:rPr>
          <w:sz w:val="20"/>
        </w:rPr>
      </w:pPr>
    </w:p>
    <w:p>
      <w:pPr>
        <w:pStyle w:val="Heading1"/>
        <w:ind w:left="139"/>
      </w:pPr>
      <w:bookmarkStart w:name="Element 4: Data Preservation, Access, an" w:id="11"/>
      <w:bookmarkEnd w:id="11"/>
      <w:r>
        <w:rPr>
          <w:b w:val="0"/>
        </w:rPr>
      </w:r>
      <w:r>
        <w:rPr/>
        <w:t>Element</w:t>
      </w:r>
      <w:r>
        <w:rPr>
          <w:spacing w:val="-3"/>
        </w:rPr>
        <w:t> </w:t>
      </w:r>
      <w:r>
        <w:rPr/>
        <w:t>4: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Preservation,</w:t>
      </w:r>
      <w:r>
        <w:rPr>
          <w:spacing w:val="-3"/>
        </w:rPr>
        <w:t> </w:t>
      </w:r>
      <w:r>
        <w:rPr/>
        <w:t>Access,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Timelines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59" w:right="0" w:hanging="361"/>
        <w:jc w:val="left"/>
        <w:rPr>
          <w:b/>
          <w:sz w:val="22"/>
        </w:rPr>
      </w:pPr>
      <w:bookmarkStart w:name="A. Repository where scientific data and " w:id="12"/>
      <w:bookmarkEnd w:id="12"/>
      <w:r>
        <w:rPr/>
      </w:r>
      <w:bookmarkStart w:name="A. Repository where scientific data and " w:id="13"/>
      <w:bookmarkEnd w:id="13"/>
      <w:r>
        <w:rPr>
          <w:b/>
          <w:sz w:val="22"/>
        </w:rPr>
        <w:t>R</w:t>
      </w:r>
      <w:r>
        <w:rPr>
          <w:b/>
          <w:sz w:val="22"/>
        </w:rPr>
        <w:t>epository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scientific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metadata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archived: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0"/>
        <w:ind w:left="859"/>
      </w:pPr>
      <w:r>
        <w:rPr/>
        <w:t>DASH</w:t>
      </w:r>
      <w:r>
        <w:rPr>
          <w:spacing w:val="-4"/>
        </w:rPr>
        <w:t> </w:t>
      </w:r>
      <w:r>
        <w:rPr/>
        <w:t>(Clinical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laboratory</w:t>
      </w:r>
      <w:r>
        <w:rPr>
          <w:spacing w:val="-3"/>
        </w:rPr>
        <w:t> </w:t>
      </w:r>
      <w:r>
        <w:rPr/>
        <w:t>data);</w:t>
      </w:r>
      <w:r>
        <w:rPr>
          <w:spacing w:val="-3"/>
        </w:rPr>
        <w:t> </w:t>
      </w:r>
      <w:r>
        <w:rPr/>
        <w:t>dbGaP/Sequence</w:t>
      </w:r>
      <w:r>
        <w:rPr>
          <w:spacing w:val="-2"/>
        </w:rPr>
        <w:t> </w:t>
      </w:r>
      <w:r>
        <w:rPr/>
        <w:t>Read</w:t>
      </w:r>
      <w:r>
        <w:rPr>
          <w:spacing w:val="-3"/>
        </w:rPr>
        <w:t> </w:t>
      </w:r>
      <w:r>
        <w:rPr/>
        <w:t>Archive</w:t>
      </w:r>
      <w:r>
        <w:rPr>
          <w:spacing w:val="-2"/>
        </w:rPr>
        <w:t> </w:t>
      </w:r>
      <w:r>
        <w:rPr/>
        <w:t>(SRA,</w:t>
      </w:r>
      <w:r>
        <w:rPr>
          <w:spacing w:val="-2"/>
        </w:rPr>
        <w:t> </w:t>
      </w:r>
      <w:r>
        <w:rPr/>
        <w:t>Genomic</w:t>
      </w:r>
      <w:r>
        <w:rPr>
          <w:spacing w:val="-3"/>
        </w:rPr>
        <w:t> </w:t>
      </w:r>
      <w:r>
        <w:rPr/>
        <w:t>data)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60" w:val="left" w:leader="none"/>
        </w:tabs>
        <w:spacing w:line="240" w:lineRule="auto" w:before="1" w:after="0"/>
        <w:ind w:left="859" w:right="0" w:hanging="361"/>
        <w:jc w:val="left"/>
      </w:pPr>
      <w:bookmarkStart w:name="B. How scientific data will be findable " w:id="14"/>
      <w:bookmarkEnd w:id="14"/>
      <w:r>
        <w:rPr>
          <w:b w:val="0"/>
        </w:rPr>
      </w:r>
      <w:bookmarkStart w:name="B. How scientific data will be findable " w:id="15"/>
      <w:bookmarkEnd w:id="15"/>
      <w:r>
        <w:rPr/>
        <w:t>H</w:t>
      </w:r>
      <w:r>
        <w:rPr/>
        <w:t>ow</w:t>
      </w:r>
      <w:r>
        <w:rPr>
          <w:spacing w:val="-3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findable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identifiable: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0"/>
        <w:ind w:left="859" w:right="83"/>
      </w:pPr>
      <w:r>
        <w:rPr/>
        <w:t>Clinical and laboratory data will be findable and identifiable using a DOI created by DASH. Genomic</w:t>
      </w:r>
      <w:r>
        <w:rPr>
          <w:spacing w:val="1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findable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identifiable</w:t>
      </w:r>
      <w:r>
        <w:rPr>
          <w:spacing w:val="-5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dbGaP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accession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SRA</w:t>
      </w:r>
      <w:r>
        <w:rPr>
          <w:spacing w:val="-2"/>
        </w:rPr>
        <w:t> </w:t>
      </w:r>
      <w:r>
        <w:rPr/>
        <w:t>sequence</w:t>
      </w:r>
      <w:r>
        <w:rPr>
          <w:spacing w:val="-1"/>
        </w:rPr>
        <w:t> </w:t>
      </w:r>
      <w:r>
        <w:rPr/>
        <w:t>record</w:t>
      </w:r>
      <w:r>
        <w:rPr>
          <w:spacing w:val="-59"/>
        </w:rPr>
        <w:t> </w:t>
      </w:r>
      <w:r>
        <w:rPr/>
        <w:t>accession</w:t>
      </w:r>
      <w:r>
        <w:rPr>
          <w:spacing w:val="-1"/>
        </w:rPr>
        <w:t> </w:t>
      </w:r>
      <w:r>
        <w:rPr/>
        <w:t>numbers generated by NCBI.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</w:pPr>
      <w:bookmarkStart w:name="C. When and how long the scientific data" w:id="16"/>
      <w:bookmarkEnd w:id="16"/>
      <w:r>
        <w:rPr>
          <w:b w:val="0"/>
        </w:rPr>
      </w:r>
      <w:bookmarkStart w:name="C. When and how long the scientific data" w:id="17"/>
      <w:bookmarkEnd w:id="17"/>
      <w:r>
        <w:rPr/>
        <w:t>When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available: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0"/>
        <w:ind w:left="859" w:right="83"/>
      </w:pPr>
      <w:r>
        <w:rPr/>
        <w:t>The study team will submit an initial batch of processed and cleaned clinical and laboratory data to</w:t>
      </w:r>
      <w:r>
        <w:rPr>
          <w:spacing w:val="1"/>
        </w:rPr>
        <w:t> </w:t>
      </w:r>
      <w:r>
        <w:rPr/>
        <w:t>DASH after 500 participants have been enrolled and any remaining clinical data within 2.5 years of the</w:t>
      </w:r>
      <w:r>
        <w:rPr>
          <w:spacing w:val="1"/>
        </w:rPr>
        <w:t> </w:t>
      </w:r>
      <w:r>
        <w:rPr/>
        <w:t>last patient’s last study visit, 4 months prior to any publication date, or 6 months before the end of the</w:t>
      </w:r>
      <w:r>
        <w:rPr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period,</w:t>
      </w:r>
      <w:r>
        <w:rPr>
          <w:spacing w:val="-2"/>
        </w:rPr>
        <w:t> </w:t>
      </w:r>
      <w:r>
        <w:rPr/>
        <w:t>whichever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sooner.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repository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last patient’s last study visit or at the end of the performance period, or no later than the date of</w:t>
      </w:r>
      <w:r>
        <w:rPr>
          <w:spacing w:val="1"/>
        </w:rPr>
        <w:t> </w:t>
      </w:r>
      <w:r>
        <w:rPr/>
        <w:t>publication,</w:t>
      </w:r>
      <w:r>
        <w:rPr>
          <w:spacing w:val="-2"/>
        </w:rPr>
        <w:t> </w:t>
      </w:r>
      <w:r>
        <w:rPr/>
        <w:t>whichever is</w:t>
      </w:r>
      <w:r>
        <w:rPr>
          <w:spacing w:val="-1"/>
        </w:rPr>
        <w:t> </w:t>
      </w:r>
      <w:r>
        <w:rPr/>
        <w:t>sooner.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859" w:right="128"/>
      </w:pPr>
      <w:r>
        <w:rPr/>
        <w:t>The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dbGaP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cleaning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measure</w:t>
      </w:r>
      <w:r>
        <w:rPr>
          <w:spacing w:val="-1"/>
        </w:rPr>
        <w:t> </w:t>
      </w:r>
      <w:r>
        <w:rPr/>
        <w:t>initiation.</w:t>
      </w:r>
      <w:r>
        <w:rPr>
          <w:spacing w:val="-58"/>
        </w:rPr>
        <w:t> </w:t>
      </w:r>
      <w:r>
        <w:rPr/>
        <w:t>Genomic data will be shared according to GDS policy, which requires that genomic data must be</w:t>
      </w:r>
      <w:r>
        <w:rPr>
          <w:spacing w:val="1"/>
        </w:rPr>
        <w:t> </w:t>
      </w:r>
      <w:r>
        <w:rPr/>
        <w:t>submitted within 3 months following data generation and released within</w:t>
      </w:r>
      <w:r>
        <w:rPr>
          <w:spacing w:val="1"/>
        </w:rPr>
        <w:t> </w:t>
      </w:r>
      <w:r>
        <w:rPr/>
        <w:t>6</w:t>
      </w:r>
      <w:r>
        <w:rPr>
          <w:spacing w:val="-1"/>
        </w:rPr>
        <w:t> </w:t>
      </w:r>
      <w:r>
        <w:rPr/>
        <w:t>months of data submission</w:t>
      </w:r>
      <w:r>
        <w:rPr>
          <w:spacing w:val="1"/>
        </w:rPr>
        <w:t> </w:t>
      </w:r>
      <w:r>
        <w:rPr/>
        <w:t>to the repository or at acceptance of the publication, whichever is first. The first submission to</w:t>
      </w:r>
      <w:r>
        <w:rPr>
          <w:spacing w:val="1"/>
        </w:rPr>
        <w:t> </w:t>
      </w:r>
      <w:r>
        <w:rPr/>
        <w:t>dbGaP/SRA will be timed to the data generation for the first 500 samples, and the second submission</w:t>
      </w:r>
      <w:r>
        <w:rPr>
          <w:spacing w:val="1"/>
        </w:rPr>
        <w:t> </w:t>
      </w:r>
      <w:r>
        <w:rPr/>
        <w:t>will be timed to the data generation for the second 500 samples. Data will be preserved within the</w:t>
      </w:r>
      <w:r>
        <w:rPr>
          <w:spacing w:val="1"/>
        </w:rPr>
        <w:t> </w:t>
      </w:r>
      <w:r>
        <w:rPr/>
        <w:t>repositories for at least three years following the completion of the grant, as required by federal</w:t>
      </w:r>
      <w:r>
        <w:rPr>
          <w:spacing w:val="1"/>
        </w:rPr>
        <w:t> </w:t>
      </w:r>
      <w:r>
        <w:rPr/>
        <w:t>retention</w:t>
      </w:r>
      <w:r>
        <w:rPr>
          <w:spacing w:val="-1"/>
        </w:rPr>
        <w:t> </w:t>
      </w:r>
      <w:r>
        <w:rPr/>
        <w:t>guidelines.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139"/>
      </w:pPr>
      <w:bookmarkStart w:name="Element 5: Access, Distribution, or Reus" w:id="18"/>
      <w:bookmarkEnd w:id="18"/>
      <w:r>
        <w:rPr>
          <w:b w:val="0"/>
        </w:rPr>
      </w:r>
      <w:r>
        <w:rPr/>
        <w:t>Element</w:t>
      </w:r>
      <w:r>
        <w:rPr>
          <w:spacing w:val="-3"/>
        </w:rPr>
        <w:t> </w:t>
      </w:r>
      <w:r>
        <w:rPr/>
        <w:t>5:</w:t>
      </w:r>
      <w:r>
        <w:rPr>
          <w:spacing w:val="-3"/>
        </w:rPr>
        <w:t> </w:t>
      </w:r>
      <w:r>
        <w:rPr/>
        <w:t>Access,</w:t>
      </w:r>
      <w:r>
        <w:rPr>
          <w:spacing w:val="-2"/>
        </w:rPr>
        <w:t> </w:t>
      </w:r>
      <w:r>
        <w:rPr/>
        <w:t>Distribution,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Reuse</w:t>
      </w:r>
      <w:r>
        <w:rPr>
          <w:spacing w:val="-3"/>
        </w:rPr>
        <w:t> </w:t>
      </w:r>
      <w:r>
        <w:rPr/>
        <w:t>Considerations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120" w:after="0"/>
        <w:ind w:left="858" w:right="0" w:hanging="360"/>
        <w:jc w:val="left"/>
        <w:rPr>
          <w:b/>
          <w:sz w:val="22"/>
        </w:rPr>
      </w:pPr>
      <w:bookmarkStart w:name="A. Factors affecting subsequent access, " w:id="19"/>
      <w:bookmarkEnd w:id="19"/>
      <w:r>
        <w:rPr/>
      </w:r>
      <w:bookmarkStart w:name="A. Factors affecting subsequent access, " w:id="20"/>
      <w:bookmarkEnd w:id="20"/>
      <w:r>
        <w:rPr>
          <w:b/>
          <w:sz w:val="22"/>
        </w:rPr>
        <w:t>Facto</w:t>
      </w:r>
      <w:r>
        <w:rPr>
          <w:b/>
          <w:sz w:val="22"/>
        </w:rPr>
        <w:t>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affecting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subsequent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access,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distribution,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reuse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scientific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data: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860"/>
      </w:pPr>
      <w:r>
        <w:rPr/>
        <w:t>Clinical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controlled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DASH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use,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allowed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participant’s informed consents and the Institutional Certification. Genomic data will be shared with</w:t>
      </w:r>
      <w:r>
        <w:rPr>
          <w:spacing w:val="1"/>
        </w:rPr>
        <w:t> </w:t>
      </w:r>
      <w:r>
        <w:rPr/>
        <w:t>controlled access in dbGaP/SRA for general research use, as allowed by the participant’s informed</w:t>
      </w:r>
      <w:r>
        <w:rPr>
          <w:spacing w:val="1"/>
        </w:rPr>
        <w:t> </w:t>
      </w:r>
      <w:r>
        <w:rPr/>
        <w:t>consents</w:t>
      </w:r>
      <w:r>
        <w:rPr>
          <w:spacing w:val="-1"/>
        </w:rPr>
        <w:t> </w:t>
      </w:r>
      <w:r>
        <w:rPr/>
        <w:t>and the Institutional Certification.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bookmarkStart w:name="B. Whether access to scientific data wil" w:id="21"/>
      <w:bookmarkEnd w:id="21"/>
      <w:r>
        <w:rPr>
          <w:b w:val="0"/>
        </w:rPr>
      </w:r>
      <w:bookmarkStart w:name="B. Whether access to scientific data wil" w:id="22"/>
      <w:bookmarkEnd w:id="22"/>
      <w:r>
        <w:rPr/>
        <w:t>Whether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controlled:</w:t>
      </w:r>
    </w:p>
    <w:p>
      <w:pPr>
        <w:spacing w:after="0" w:line="240" w:lineRule="auto"/>
        <w:jc w:val="left"/>
        <w:sectPr>
          <w:pgSz w:w="12240" w:h="15840"/>
          <w:pgMar w:header="593" w:footer="0" w:top="820" w:bottom="280" w:left="580" w:right="620"/>
        </w:sectPr>
      </w:pPr>
    </w:p>
    <w:p>
      <w:pPr>
        <w:pStyle w:val="BodyText"/>
        <w:spacing w:before="82"/>
        <w:ind w:left="860" w:right="247"/>
        <w:rPr>
          <w:rFonts w:ascii="Arial"/>
          <w:i/>
        </w:rPr>
      </w:pP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controlled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Limitation,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informed</w:t>
      </w:r>
      <w:r>
        <w:rPr>
          <w:spacing w:val="-1"/>
        </w:rPr>
        <w:t> </w:t>
      </w:r>
      <w:r>
        <w:rPr/>
        <w:t>consent and the institutional certification</w:t>
      </w:r>
      <w:r>
        <w:rPr>
          <w:rFonts w:ascii="Arial"/>
          <w:i/>
        </w:rPr>
        <w:t>.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Heading1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bookmarkStart w:name="C. Protections for privacy, rights, and " w:id="23"/>
      <w:bookmarkEnd w:id="23"/>
      <w:r>
        <w:rPr>
          <w:b w:val="0"/>
        </w:rPr>
      </w:r>
      <w:bookmarkStart w:name="C. Protections for privacy, rights, and " w:id="24"/>
      <w:bookmarkEnd w:id="24"/>
      <w:r>
        <w:rPr/>
        <w:t>P</w:t>
      </w:r>
      <w:r>
        <w:rPr/>
        <w:t>rotections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privacy,</w:t>
      </w:r>
      <w:r>
        <w:rPr>
          <w:spacing w:val="-2"/>
        </w:rPr>
        <w:t> </w:t>
      </w:r>
      <w:r>
        <w:rPr/>
        <w:t>rights,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confidentiality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participants: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0"/>
        <w:ind w:left="860"/>
      </w:pPr>
      <w:r>
        <w:rPr/>
        <w:t>Informed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trial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explicit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informing</w:t>
      </w:r>
      <w:r>
        <w:rPr>
          <w:spacing w:val="-58"/>
        </w:rPr>
        <w:t> </w:t>
      </w:r>
      <w:r>
        <w:rPr/>
        <w:t>the participant or legally authorized representative that residual biological specimens, including DNA,</w:t>
      </w:r>
      <w:r>
        <w:rPr>
          <w:spacing w:val="1"/>
        </w:rPr>
        <w:t> </w:t>
      </w:r>
      <w:r>
        <w:rPr/>
        <w:t>may be stored in a biorepository for other scientific investigations. The informed consents will contain</w:t>
      </w:r>
      <w:r>
        <w:rPr>
          <w:spacing w:val="1"/>
        </w:rPr>
        <w:t> </w:t>
      </w:r>
      <w:r>
        <w:rPr/>
        <w:t>language permitting secondary use with broad data sharing under controlled access with general</w:t>
      </w:r>
      <w:r>
        <w:rPr>
          <w:spacing w:val="1"/>
        </w:rPr>
        <w:t> </w:t>
      </w:r>
      <w:r>
        <w:rPr/>
        <w:t>research use restrictions in DASH (clinical data) and dbGaP/SRA (genomic data). Patients will not be</w:t>
      </w:r>
      <w:r>
        <w:rPr>
          <w:spacing w:val="1"/>
        </w:rPr>
        <w:t> </w:t>
      </w:r>
      <w:r>
        <w:rPr/>
        <w:t>contacted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re-consented</w:t>
      </w:r>
      <w:r>
        <w:rPr>
          <w:spacing w:val="-1"/>
        </w:rPr>
        <w:t> </w:t>
      </w:r>
      <w:r>
        <w:rPr/>
        <w:t>for future</w:t>
      </w:r>
      <w:r>
        <w:rPr>
          <w:spacing w:val="-2"/>
        </w:rPr>
        <w:t> </w:t>
      </w:r>
      <w:r>
        <w:rPr/>
        <w:t>sharing or</w:t>
      </w:r>
      <w:r>
        <w:rPr>
          <w:spacing w:val="-1"/>
        </w:rPr>
        <w:t> </w:t>
      </w:r>
      <w:r>
        <w:rPr/>
        <w:t>accessing data</w:t>
      </w:r>
      <w:r>
        <w:rPr>
          <w:spacing w:val="-1"/>
        </w:rPr>
        <w:t> </w:t>
      </w:r>
      <w:r>
        <w:rPr/>
        <w:t>through repositories.</w:t>
      </w:r>
    </w:p>
    <w:p>
      <w:pPr>
        <w:pStyle w:val="BodyText"/>
        <w:rPr>
          <w:sz w:val="20"/>
        </w:rPr>
      </w:pPr>
    </w:p>
    <w:p>
      <w:pPr>
        <w:pStyle w:val="BodyText"/>
        <w:spacing w:before="0"/>
        <w:ind w:left="860" w:right="247"/>
      </w:pPr>
      <w:r>
        <w:rPr/>
        <w:t>Privacy and confidentiality protections consistent with applicable federal, Tribal, state, and local laws,</w:t>
      </w:r>
      <w:r>
        <w:rPr>
          <w:spacing w:val="1"/>
        </w:rPr>
        <w:t> </w:t>
      </w:r>
      <w:r>
        <w:rPr/>
        <w:t>regulations,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followed.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deidentified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removing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18</w:t>
      </w:r>
      <w:r>
        <w:rPr>
          <w:spacing w:val="-3"/>
        </w:rPr>
        <w:t> </w:t>
      </w:r>
      <w:r>
        <w:rPr/>
        <w:t>HIPAA</w:t>
      </w:r>
      <w:r>
        <w:rPr>
          <w:spacing w:val="-2"/>
        </w:rPr>
        <w:t> </w:t>
      </w:r>
      <w:r>
        <w:rPr/>
        <w:t>identifiers</w:t>
      </w:r>
      <w:r>
        <w:rPr>
          <w:spacing w:val="-58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sharing,</w:t>
      </w:r>
      <w:r>
        <w:rPr>
          <w:spacing w:val="-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study will</w:t>
      </w:r>
      <w:r>
        <w:rPr>
          <w:spacing w:val="-1"/>
        </w:rPr>
        <w:t> </w:t>
      </w:r>
      <w:r>
        <w:rPr/>
        <w:t>have a Certificate</w:t>
      </w:r>
      <w:r>
        <w:rPr>
          <w:spacing w:val="-1"/>
        </w:rPr>
        <w:t> </w:t>
      </w:r>
      <w:r>
        <w:rPr/>
        <w:t>of Confidentiality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NIH.</w:t>
      </w:r>
    </w:p>
    <w:p>
      <w:pPr>
        <w:pStyle w:val="BodyText"/>
        <w:rPr>
          <w:sz w:val="20"/>
        </w:rPr>
      </w:pPr>
    </w:p>
    <w:p>
      <w:pPr>
        <w:pStyle w:val="Heading1"/>
        <w:ind w:left="140"/>
      </w:pPr>
      <w:bookmarkStart w:name="Element 6: Oversight of Data Management " w:id="25"/>
      <w:bookmarkEnd w:id="25"/>
      <w:r>
        <w:rPr>
          <w:b w:val="0"/>
        </w:rPr>
      </w:r>
      <w:r>
        <w:rPr/>
        <w:t>Element</w:t>
      </w:r>
      <w:r>
        <w:rPr>
          <w:spacing w:val="-3"/>
        </w:rPr>
        <w:t> </w:t>
      </w:r>
      <w:r>
        <w:rPr/>
        <w:t>6:</w:t>
      </w:r>
      <w:r>
        <w:rPr>
          <w:spacing w:val="-2"/>
        </w:rPr>
        <w:t> </w:t>
      </w:r>
      <w:r>
        <w:rPr/>
        <w:t>Oversight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Sharing:</w:t>
      </w:r>
    </w:p>
    <w:p>
      <w:pPr>
        <w:pStyle w:val="BodyText"/>
        <w:spacing w:before="120"/>
        <w:ind w:left="860" w:right="83"/>
      </w:pPr>
      <w:r>
        <w:rPr/>
        <w:t>Data will be submitted by a project data manager from the PI’s project team. The data manager will</w:t>
      </w:r>
      <w:r>
        <w:rPr>
          <w:spacing w:val="1"/>
        </w:rPr>
        <w:t> </w:t>
      </w:r>
      <w:r>
        <w:rPr/>
        <w:t>oversee data collection, analysis, storage, and sharing. Compliance with the plan will be monitored by</w:t>
      </w:r>
      <w:r>
        <w:rPr>
          <w:spacing w:val="1"/>
        </w:rPr>
        <w:t> </w:t>
      </w:r>
      <w:r>
        <w:rPr/>
        <w:t>the PI routinely. The PI will conduct monthly meetings with key study personnel to ensure the timeliness</w:t>
      </w:r>
      <w:r>
        <w:rPr>
          <w:spacing w:val="-59"/>
        </w:rPr>
        <w:t> </w:t>
      </w:r>
      <w:r>
        <w:rPr/>
        <w:t>of data entry and will review data to ensure quality of data entry. The PI will ensure data are submitted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shared</w:t>
      </w:r>
      <w:r>
        <w:rPr>
          <w:spacing w:val="-1"/>
        </w:rPr>
        <w:t> </w:t>
      </w:r>
      <w:r>
        <w:rPr/>
        <w:t>according to</w:t>
      </w:r>
      <w:r>
        <w:rPr>
          <w:spacing w:val="-1"/>
        </w:rPr>
        <w:t> </w:t>
      </w:r>
      <w:r>
        <w:rPr/>
        <w:t>this DMSP.</w:t>
      </w:r>
    </w:p>
    <w:sectPr>
      <w:pgSz w:w="12240" w:h="15840"/>
      <w:pgMar w:header="593" w:footer="0" w:top="82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799988pt;margin-top:29.755898pt;width:273.150pt;height:10.95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0925-0001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0925-0002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(Rev.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07/2022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Approved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Through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TBD)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85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9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sharing.nih.gov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NICHD ODSS</dc:creator>
  <cp:keywords>Data Management and Sharing; Genomic Data Sharing</cp:keywords>
  <dc:subject>Data Management and Sharing Plan for NIH Funded Research: Human Clinical and Geomics Data Format Page</dc:subject>
  <dc:title>Data Management and Sharing Plan for NIH Funded Research: Human Clinical and Geomics Data Format Page</dc:title>
  <dcterms:created xsi:type="dcterms:W3CDTF">2023-01-27T17:00:01Z</dcterms:created>
  <dcterms:modified xsi:type="dcterms:W3CDTF">2023-01-27T17:00:01Z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2023-01-27T00:00:00Z</vt:filetime>
  </property>
</Properties>
</file>