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52D6" w14:textId="77777777" w:rsidR="00D73103" w:rsidRPr="00D73103" w:rsidRDefault="00D73103" w:rsidP="00D73103">
      <w:pPr>
        <w:spacing w:after="0" w:line="240" w:lineRule="auto"/>
      </w:pPr>
      <w:r w:rsidRPr="00D73103">
        <w:t>University of Colorado Denver | Anschutz Medical Campus</w:t>
      </w:r>
    </w:p>
    <w:p w14:paraId="148A96A4" w14:textId="77777777" w:rsidR="00404A42" w:rsidRDefault="00D73103" w:rsidP="00D73103">
      <w:pPr>
        <w:spacing w:after="0" w:line="240" w:lineRule="auto"/>
        <w:rPr>
          <w:b/>
          <w:bCs/>
          <w:color w:val="0461C1"/>
        </w:rPr>
      </w:pPr>
      <w:r w:rsidRPr="00D73103">
        <w:rPr>
          <w:b/>
          <w:bCs/>
          <w:color w:val="0461C1"/>
        </w:rPr>
        <w:t>Colorado Multiple Institutional Review Board (COMIRB)</w:t>
      </w:r>
    </w:p>
    <w:p w14:paraId="23C1BC37" w14:textId="77777777" w:rsidR="00D73103" w:rsidRDefault="00D73103" w:rsidP="00D73103">
      <w:pPr>
        <w:spacing w:after="0" w:line="240" w:lineRule="auto"/>
      </w:pPr>
    </w:p>
    <w:p w14:paraId="5A5E4B04" w14:textId="77777777" w:rsidR="00D73103" w:rsidRPr="00D73103" w:rsidRDefault="00D73103" w:rsidP="00D73103">
      <w:pPr>
        <w:spacing w:after="0" w:line="240" w:lineRule="auto"/>
        <w:rPr>
          <w:sz w:val="36"/>
          <w:szCs w:val="36"/>
        </w:rPr>
      </w:pPr>
      <w:r>
        <w:rPr>
          <w:sz w:val="36"/>
          <w:szCs w:val="36"/>
        </w:rPr>
        <w:t>International Research</w:t>
      </w:r>
    </w:p>
    <w:p w14:paraId="6E70CBC4" w14:textId="625852A3" w:rsidR="00A665DE" w:rsidRDefault="004B6068" w:rsidP="00D73103">
      <w:pPr>
        <w:spacing w:after="0" w:line="240" w:lineRule="auto"/>
      </w:pPr>
      <w:r>
        <w:t>International research is often much more complex than similar research conducted in the US.  Local collaborations, logistics, local ethical and legal requirements complicate the research process and require additional attention and effort by the investigator.</w:t>
      </w:r>
      <w:r w:rsidR="00DF0B65">
        <w:t xml:space="preserve">  Following are the key points to consider.</w:t>
      </w:r>
    </w:p>
    <w:p w14:paraId="71672428" w14:textId="77777777" w:rsidR="006D5B7C" w:rsidRDefault="006D5B7C" w:rsidP="00D73103">
      <w:pPr>
        <w:spacing w:after="0" w:line="240" w:lineRule="auto"/>
      </w:pPr>
    </w:p>
    <w:p w14:paraId="78460CF2" w14:textId="77777777" w:rsidR="00D73103" w:rsidRPr="00A665DE" w:rsidRDefault="00A665DE" w:rsidP="00D73103">
      <w:pPr>
        <w:spacing w:after="0" w:line="240" w:lineRule="auto"/>
        <w:rPr>
          <w:sz w:val="28"/>
          <w:szCs w:val="28"/>
          <w:u w:val="single"/>
        </w:rPr>
      </w:pPr>
      <w:r w:rsidRPr="00A665DE">
        <w:rPr>
          <w:sz w:val="28"/>
          <w:szCs w:val="28"/>
          <w:u w:val="single"/>
        </w:rPr>
        <w:t>Regulatory Requirements</w:t>
      </w:r>
    </w:p>
    <w:p w14:paraId="60F46973" w14:textId="77777777" w:rsidR="00A26D3F" w:rsidRDefault="00A26D3F" w:rsidP="00A26D3F">
      <w:pPr>
        <w:spacing w:after="0" w:line="240" w:lineRule="auto"/>
      </w:pPr>
    </w:p>
    <w:p w14:paraId="431FC80A" w14:textId="1B4E0C75" w:rsidR="00542407" w:rsidRPr="007F4FD9" w:rsidRDefault="00AC0281" w:rsidP="007C31DC">
      <w:pPr>
        <w:spacing w:after="0" w:line="240" w:lineRule="auto"/>
      </w:pPr>
      <w:r w:rsidRPr="007F4FD9">
        <w:t>Human subjects outside of the US who participate in research funded by HHS must receive an equal level of protection as research participants in the US</w:t>
      </w:r>
      <w:r w:rsidR="00B95C1E" w:rsidRPr="007F4FD9">
        <w:t xml:space="preserve"> (</w:t>
      </w:r>
      <w:r w:rsidR="00CD7CAA" w:rsidRPr="00CD7CAA">
        <w:t>45</w:t>
      </w:r>
      <w:r w:rsidR="00CD7CAA">
        <w:t xml:space="preserve"> </w:t>
      </w:r>
      <w:r w:rsidR="00CD7CAA" w:rsidRPr="00CD7CAA">
        <w:t>CFR</w:t>
      </w:r>
      <w:r w:rsidR="00CD7CAA">
        <w:t xml:space="preserve"> </w:t>
      </w:r>
      <w:r w:rsidR="00CD7CAA" w:rsidRPr="00CD7CAA">
        <w:t>46.101(h)</w:t>
      </w:r>
      <w:r w:rsidR="00B95C1E" w:rsidRPr="007F4FD9">
        <w:t>).</w:t>
      </w:r>
      <w:r w:rsidR="00037CE9" w:rsidRPr="007F4FD9">
        <w:t xml:space="preserve"> This sets the standard for all</w:t>
      </w:r>
      <w:r w:rsidRPr="007F4FD9">
        <w:t xml:space="preserve"> international research</w:t>
      </w:r>
      <w:r w:rsidR="00A665DE" w:rsidRPr="007F4FD9">
        <w:t>, funded or not</w:t>
      </w:r>
      <w:r w:rsidR="00037CE9" w:rsidRPr="007F4FD9">
        <w:t>, and is g</w:t>
      </w:r>
      <w:r w:rsidR="009C63E7" w:rsidRPr="007F4FD9">
        <w:t xml:space="preserve">uided by the </w:t>
      </w:r>
      <w:hyperlink r:id="rId7" w:history="1">
        <w:r w:rsidRPr="007F4FD9">
          <w:rPr>
            <w:rStyle w:val="Hyperlink"/>
          </w:rPr>
          <w:t>Belmont Report</w:t>
        </w:r>
      </w:hyperlink>
      <w:r w:rsidR="00037CE9" w:rsidRPr="007F4FD9">
        <w:t>.</w:t>
      </w:r>
    </w:p>
    <w:p w14:paraId="55F7616C" w14:textId="77777777" w:rsidR="00A26D3F" w:rsidRPr="007F4FD9" w:rsidRDefault="00A26D3F" w:rsidP="007F4FD9">
      <w:pPr>
        <w:spacing w:after="0" w:line="240" w:lineRule="auto"/>
      </w:pPr>
    </w:p>
    <w:p w14:paraId="11559A16" w14:textId="305D191D" w:rsidR="00A26D3F" w:rsidRDefault="00AC0281" w:rsidP="007C31DC">
      <w:pPr>
        <w:spacing w:after="0" w:line="240" w:lineRule="auto"/>
      </w:pPr>
      <w:r w:rsidRPr="007F4FD9">
        <w:t>Review</w:t>
      </w:r>
      <w:r w:rsidR="009C63E7" w:rsidRPr="007F4FD9">
        <w:t xml:space="preserve"> </w:t>
      </w:r>
      <w:r w:rsidR="00A26D3F" w:rsidRPr="007F4FD9">
        <w:t xml:space="preserve">is </w:t>
      </w:r>
      <w:r w:rsidR="009C63E7" w:rsidRPr="007F4FD9">
        <w:t>generally required</w:t>
      </w:r>
      <w:r w:rsidRPr="007F4FD9">
        <w:t xml:space="preserve"> by </w:t>
      </w:r>
      <w:r w:rsidR="00A26D3F" w:rsidRPr="007F4FD9">
        <w:t xml:space="preserve">the </w:t>
      </w:r>
      <w:r w:rsidRPr="007F4FD9">
        <w:t>local country’s IRB or Ethics Committee</w:t>
      </w:r>
      <w:r w:rsidR="00F03E82">
        <w:t xml:space="preserve"> (EC)</w:t>
      </w:r>
      <w:r w:rsidR="009C63E7" w:rsidRPr="007F4FD9">
        <w:t>.  This is not just a US requirement;</w:t>
      </w:r>
      <w:r w:rsidRPr="007F4FD9">
        <w:t xml:space="preserve"> many countries now require local IRB</w:t>
      </w:r>
      <w:r w:rsidR="00F03E82">
        <w:t>/EC</w:t>
      </w:r>
      <w:r w:rsidRPr="007F4FD9">
        <w:t xml:space="preserve"> review</w:t>
      </w:r>
      <w:r w:rsidR="009C63E7" w:rsidRPr="007F4FD9">
        <w:t>, especially for biomedical research</w:t>
      </w:r>
      <w:r w:rsidR="00037CE9" w:rsidRPr="007F4FD9">
        <w:t>.</w:t>
      </w:r>
      <w:r w:rsidR="007F4FD9" w:rsidRPr="007F4FD9">
        <w:t xml:space="preserve"> </w:t>
      </w:r>
      <w:r w:rsidR="00B95C1E" w:rsidRPr="007F4FD9">
        <w:rPr>
          <w:rFonts w:ascii="Calibri" w:hAnsi="Calibri"/>
        </w:rPr>
        <w:t xml:space="preserve">Some countries require that their Ministry of Health review a study separately and in addition to the local IRB/EC, usually when the study is a public health study or when recruitment or data/specimen collection will occur in any </w:t>
      </w:r>
      <w:r w:rsidR="00F03E82">
        <w:rPr>
          <w:rFonts w:ascii="Calibri" w:hAnsi="Calibri"/>
        </w:rPr>
        <w:t xml:space="preserve">Ministry of Health </w:t>
      </w:r>
      <w:r w:rsidR="00B95C1E" w:rsidRPr="007F4FD9">
        <w:rPr>
          <w:rFonts w:ascii="Calibri" w:hAnsi="Calibri"/>
        </w:rPr>
        <w:t>clinic or health outpost.  Review by a Ministry of Health may add appreciably to the time to obtain approval.</w:t>
      </w:r>
      <w:r w:rsidR="007F4FD9" w:rsidRPr="007F4FD9">
        <w:rPr>
          <w:rFonts w:ascii="Calibri" w:hAnsi="Calibri"/>
        </w:rPr>
        <w:t xml:space="preserve"> </w:t>
      </w:r>
      <w:r w:rsidR="00A92803">
        <w:rPr>
          <w:rFonts w:ascii="Calibri" w:hAnsi="Calibri"/>
        </w:rPr>
        <w:t xml:space="preserve">FDA </w:t>
      </w:r>
      <w:r w:rsidR="00CD7CAA" w:rsidRPr="00CD7CAA">
        <w:rPr>
          <w:rFonts w:ascii="Calibri" w:hAnsi="Calibri"/>
        </w:rPr>
        <w:t>regulations</w:t>
      </w:r>
      <w:r w:rsidR="00A92803">
        <w:rPr>
          <w:rFonts w:ascii="Calibri" w:hAnsi="Calibri"/>
        </w:rPr>
        <w:t xml:space="preserve"> may also apply. </w:t>
      </w:r>
      <w:r w:rsidR="009C63E7" w:rsidRPr="007F4FD9">
        <w:t xml:space="preserve">Check the </w:t>
      </w:r>
      <w:hyperlink r:id="rId8" w:history="1">
        <w:r w:rsidRPr="007F4FD9">
          <w:rPr>
            <w:rStyle w:val="Hyperlink"/>
          </w:rPr>
          <w:t xml:space="preserve">International Compilation of Human Research Standards </w:t>
        </w:r>
      </w:hyperlink>
      <w:r w:rsidR="00037CE9" w:rsidRPr="007F4FD9">
        <w:t>for country-specific regulations.</w:t>
      </w:r>
    </w:p>
    <w:p w14:paraId="28FFBCDA" w14:textId="77777777" w:rsidR="007F4FD9" w:rsidRPr="007F4FD9" w:rsidRDefault="007F4FD9" w:rsidP="007F4FD9">
      <w:pPr>
        <w:spacing w:after="0" w:line="240" w:lineRule="auto"/>
      </w:pPr>
    </w:p>
    <w:p w14:paraId="245E2425" w14:textId="54894604" w:rsidR="007637C6" w:rsidRPr="007F4FD9" w:rsidRDefault="007637C6" w:rsidP="007C31DC">
      <w:pPr>
        <w:spacing w:line="240" w:lineRule="auto"/>
      </w:pPr>
      <w:r w:rsidRPr="007F4FD9">
        <w:t>The General Data Protection Regulation (GDPR) applies to research in</w:t>
      </w:r>
      <w:r w:rsidR="00115AD8" w:rsidRPr="007F4FD9">
        <w:t>,</w:t>
      </w:r>
      <w:r w:rsidRPr="007F4FD9">
        <w:t xml:space="preserve"> or with </w:t>
      </w:r>
      <w:r w:rsidR="00F03E82">
        <w:t>residents</w:t>
      </w:r>
      <w:r w:rsidRPr="007F4FD9">
        <w:t xml:space="preserve"> of</w:t>
      </w:r>
      <w:r w:rsidR="00115AD8" w:rsidRPr="007F4FD9">
        <w:t>,</w:t>
      </w:r>
      <w:r w:rsidRPr="007F4FD9">
        <w:t xml:space="preserve"> the European Economic Area (</w:t>
      </w:r>
      <w:r w:rsidR="00F03E82">
        <w:t>E</w:t>
      </w:r>
      <w:r w:rsidRPr="007F4FD9">
        <w:t xml:space="preserve">EA).  Research involving the EEA </w:t>
      </w:r>
      <w:r w:rsidR="00115AD8" w:rsidRPr="007F4FD9">
        <w:t xml:space="preserve">and the United Kingdom </w:t>
      </w:r>
      <w:r w:rsidRPr="007F4FD9">
        <w:t>requires additional institutional review</w:t>
      </w:r>
      <w:r w:rsidR="00115AD8" w:rsidRPr="007F4FD9">
        <w:t xml:space="preserve"> (s</w:t>
      </w:r>
      <w:r w:rsidRPr="007F4FD9">
        <w:t>ee</w:t>
      </w:r>
      <w:r w:rsidR="006D5B7C" w:rsidRPr="007F4FD9">
        <w:t xml:space="preserve"> COMIRB’s </w:t>
      </w:r>
      <w:hyperlink r:id="rId9" w:history="1">
        <w:r w:rsidR="006D5B7C" w:rsidRPr="007F4FD9">
          <w:rPr>
            <w:rStyle w:val="Hyperlink"/>
          </w:rPr>
          <w:t>GDPR</w:t>
        </w:r>
        <w:r w:rsidRPr="007F4FD9">
          <w:rPr>
            <w:rStyle w:val="Hyperlink"/>
          </w:rPr>
          <w:t xml:space="preserve"> Guidance</w:t>
        </w:r>
      </w:hyperlink>
      <w:r w:rsidR="00115AD8" w:rsidRPr="007F4FD9">
        <w:t>)</w:t>
      </w:r>
      <w:r w:rsidR="006D5B7C" w:rsidRPr="007F4FD9">
        <w:t>.</w:t>
      </w:r>
    </w:p>
    <w:p w14:paraId="798A6C27" w14:textId="7C80A17B" w:rsidR="00A26D3F" w:rsidRDefault="00A26D3F" w:rsidP="00A26D3F">
      <w:pPr>
        <w:spacing w:after="0" w:line="240" w:lineRule="auto"/>
        <w:rPr>
          <w:sz w:val="28"/>
          <w:szCs w:val="28"/>
          <w:u w:val="single"/>
        </w:rPr>
      </w:pPr>
      <w:r w:rsidRPr="001535F6">
        <w:rPr>
          <w:sz w:val="28"/>
          <w:szCs w:val="28"/>
          <w:u w:val="single"/>
        </w:rPr>
        <w:t>Other institutional requirements</w:t>
      </w:r>
    </w:p>
    <w:p w14:paraId="6DBFE42A" w14:textId="77777777" w:rsidR="00A26D3F" w:rsidRPr="001535F6" w:rsidRDefault="00A26D3F" w:rsidP="00A26D3F">
      <w:pPr>
        <w:spacing w:after="0" w:line="240" w:lineRule="auto"/>
        <w:rPr>
          <w:sz w:val="28"/>
          <w:szCs w:val="28"/>
          <w:u w:val="single"/>
        </w:rPr>
      </w:pPr>
    </w:p>
    <w:p w14:paraId="4E64083B" w14:textId="450EFDE7" w:rsidR="00A26D3F" w:rsidRDefault="00A26D3F" w:rsidP="007C31DC">
      <w:pPr>
        <w:spacing w:after="0"/>
      </w:pPr>
      <w:r w:rsidRPr="007F4FD9">
        <w:rPr>
          <w:b/>
          <w:bCs/>
        </w:rPr>
        <w:t>Travel</w:t>
      </w:r>
      <w:r>
        <w:t xml:space="preserve">. </w:t>
      </w:r>
      <w:r w:rsidRPr="00FC781F">
        <w:t xml:space="preserve">All </w:t>
      </w:r>
      <w:r w:rsidRPr="00283C89">
        <w:t>students and trainees</w:t>
      </w:r>
      <w:r w:rsidRPr="00FC781F">
        <w:t xml:space="preserve"> (including residents</w:t>
      </w:r>
      <w:r>
        <w:t xml:space="preserve"> and </w:t>
      </w:r>
      <w:r w:rsidRPr="00FC781F">
        <w:t xml:space="preserve">fellows) traveling internationally MUST register with the </w:t>
      </w:r>
      <w:hyperlink r:id="rId10" w:history="1">
        <w:r w:rsidRPr="006D5B7C">
          <w:rPr>
            <w:rStyle w:val="Hyperlink"/>
          </w:rPr>
          <w:t>Office of International Affairs</w:t>
        </w:r>
      </w:hyperlink>
      <w:r>
        <w:t xml:space="preserve"> and follow travel policies set by </w:t>
      </w:r>
      <w:hyperlink r:id="rId11" w:history="1">
        <w:r w:rsidRPr="00115AD8">
          <w:rPr>
            <w:rStyle w:val="Hyperlink"/>
          </w:rPr>
          <w:t>University International Operations</w:t>
        </w:r>
      </w:hyperlink>
      <w:r>
        <w:t xml:space="preserve">. </w:t>
      </w:r>
      <w:r w:rsidRPr="00277551">
        <w:t>UCD policy</w:t>
      </w:r>
      <w:r w:rsidRPr="00FC781F">
        <w:t xml:space="preserve"> requires that </w:t>
      </w:r>
      <w:r w:rsidRPr="00974250">
        <w:t>faculty</w:t>
      </w:r>
      <w:r w:rsidRPr="00FC781F">
        <w:t xml:space="preserve"> purchase international travel tickets through Christopherson Travel, which will automatically register you with the Office of International Affairs. There may be other important considerations when conducting international research (e.g., local contracts, Visas, safety, etc.); please contact the Office of International Affairs to discuss your plans while outside the United States.</w:t>
      </w:r>
    </w:p>
    <w:p w14:paraId="6E40780A" w14:textId="6B2F6D45" w:rsidR="00A26D3F" w:rsidRDefault="00A26D3F" w:rsidP="00A26D3F">
      <w:pPr>
        <w:spacing w:after="0" w:line="240" w:lineRule="auto"/>
      </w:pPr>
    </w:p>
    <w:p w14:paraId="4A9D76CF" w14:textId="5CE85677" w:rsidR="00D73103" w:rsidRDefault="00A26D3F" w:rsidP="007C31DC">
      <w:pPr>
        <w:spacing w:after="0" w:line="240" w:lineRule="auto"/>
      </w:pPr>
      <w:r w:rsidRPr="007F4FD9">
        <w:rPr>
          <w:b/>
          <w:bCs/>
        </w:rPr>
        <w:t>Import</w:t>
      </w:r>
      <w:r w:rsidRPr="007C31DC">
        <w:rPr>
          <w:b/>
        </w:rPr>
        <w:t>/export issues</w:t>
      </w:r>
      <w:r w:rsidRPr="001535F6">
        <w:t xml:space="preserve"> (equipment, samples, information)</w:t>
      </w:r>
      <w:r>
        <w:t>. Many countries have strict regulations on export of biological samples, and m</w:t>
      </w:r>
      <w:r w:rsidRPr="001535F6">
        <w:t xml:space="preserve">ay need </w:t>
      </w:r>
      <w:r>
        <w:t xml:space="preserve">a </w:t>
      </w:r>
      <w:hyperlink r:id="rId12" w:history="1">
        <w:r w:rsidR="00216F38" w:rsidRPr="007C31DC">
          <w:rPr>
            <w:rStyle w:val="Hyperlink"/>
          </w:rPr>
          <w:t>Material Transfer Agreement</w:t>
        </w:r>
      </w:hyperlink>
      <w:r>
        <w:t>, FDA</w:t>
      </w:r>
      <w:r w:rsidR="00216F38">
        <w:t>,</w:t>
      </w:r>
      <w:r>
        <w:t xml:space="preserve"> or USDA approvals, and/or </w:t>
      </w:r>
      <w:r w:rsidRPr="001535F6">
        <w:t>special customs arrangements</w:t>
      </w:r>
      <w:r>
        <w:t xml:space="preserve">. Consider how you will maintain security of the data and </w:t>
      </w:r>
      <w:r w:rsidRPr="001535F6">
        <w:t>samples while in country</w:t>
      </w:r>
      <w:r>
        <w:t xml:space="preserve"> (e.g., consent forms, biological samples, data) and how data</w:t>
      </w:r>
      <w:r w:rsidRPr="001535F6">
        <w:t xml:space="preserve"> </w:t>
      </w:r>
      <w:r>
        <w:t xml:space="preserve">will be </w:t>
      </w:r>
      <w:r w:rsidRPr="001535F6">
        <w:t>transmi</w:t>
      </w:r>
      <w:r>
        <w:t xml:space="preserve">tted </w:t>
      </w:r>
      <w:r w:rsidRPr="001535F6">
        <w:t xml:space="preserve">to </w:t>
      </w:r>
      <w:r>
        <w:t xml:space="preserve">the </w:t>
      </w:r>
      <w:r w:rsidRPr="001535F6">
        <w:t>US</w:t>
      </w:r>
      <w:r>
        <w:t xml:space="preserve"> (e.g., s</w:t>
      </w:r>
      <w:r w:rsidRPr="001535F6">
        <w:t>ecure internet connections to US</w:t>
      </w:r>
      <w:r>
        <w:t>, e</w:t>
      </w:r>
      <w:r w:rsidRPr="001535F6">
        <w:t>ncryption for sensitive data</w:t>
      </w:r>
      <w:r>
        <w:t>).</w:t>
      </w:r>
    </w:p>
    <w:p w14:paraId="5EF4CEF1" w14:textId="77777777" w:rsidR="009C63E7" w:rsidRDefault="009C63E7" w:rsidP="00D73103">
      <w:pPr>
        <w:spacing w:after="0" w:line="240" w:lineRule="auto"/>
      </w:pPr>
    </w:p>
    <w:p w14:paraId="70B3EF8E" w14:textId="5C8D5036" w:rsidR="00D73103" w:rsidRDefault="00966DB3" w:rsidP="00D73103">
      <w:pPr>
        <w:spacing w:after="0" w:line="240" w:lineRule="auto"/>
        <w:rPr>
          <w:sz w:val="28"/>
          <w:szCs w:val="28"/>
          <w:u w:val="single"/>
        </w:rPr>
      </w:pPr>
      <w:r w:rsidRPr="00966DB3">
        <w:rPr>
          <w:sz w:val="28"/>
          <w:szCs w:val="28"/>
          <w:u w:val="single"/>
        </w:rPr>
        <w:t>Best practice</w:t>
      </w:r>
      <w:r>
        <w:rPr>
          <w:sz w:val="28"/>
          <w:szCs w:val="28"/>
          <w:u w:val="single"/>
        </w:rPr>
        <w:t xml:space="preserve"> suggestions</w:t>
      </w:r>
    </w:p>
    <w:p w14:paraId="344B080D" w14:textId="3D80ABCC" w:rsidR="00A26D3F" w:rsidRPr="007F4FD9" w:rsidRDefault="00A26D3F" w:rsidP="00D73103">
      <w:pPr>
        <w:spacing w:after="0" w:line="240" w:lineRule="auto"/>
        <w:rPr>
          <w:u w:val="single"/>
        </w:rPr>
      </w:pPr>
    </w:p>
    <w:p w14:paraId="772BAA5B" w14:textId="283C6C85" w:rsidR="007F4FD9" w:rsidRDefault="00E6130D" w:rsidP="007F4FD9">
      <w:pPr>
        <w:spacing w:after="0"/>
      </w:pPr>
      <w:r w:rsidRPr="007F4FD9">
        <w:rPr>
          <w:b/>
          <w:bCs/>
        </w:rPr>
        <w:t>Local Context</w:t>
      </w:r>
      <w:r w:rsidRPr="007F4FD9">
        <w:t xml:space="preserve">. </w:t>
      </w:r>
      <w:r w:rsidR="007F4FD9">
        <w:t xml:space="preserve">Designing culturally appropriate consent and study procedures and obtaining local IRB/ethics board approval are important steps in conducting international research. Local officials or community leaders may be called upon to ensure that the protocol is culturally </w:t>
      </w:r>
      <w:proofErr w:type="gramStart"/>
      <w:r w:rsidR="007F4FD9">
        <w:t>appropriate</w:t>
      </w:r>
      <w:proofErr w:type="gramEnd"/>
      <w:r w:rsidR="007F4FD9">
        <w:t xml:space="preserve"> and that consent is sought from all </w:t>
      </w:r>
      <w:r w:rsidR="007F4FD9">
        <w:lastRenderedPageBreak/>
        <w:t xml:space="preserve">interested parties, which may include spouses, extended family, and/or tribal or religious leaders. Investigators should plan to work closely with the local IRB in understanding what constitutes an adverse event or unanticipated problem in a particular cultural community. </w:t>
      </w:r>
      <w:r w:rsidR="00A26D3F" w:rsidRPr="007F4FD9">
        <w:t xml:space="preserve">Ideally, the investigator has associated with or identified someone locally to advise on cultural appropriateness. </w:t>
      </w:r>
    </w:p>
    <w:p w14:paraId="08CF6EF9" w14:textId="77777777" w:rsidR="007F4FD9" w:rsidRPr="007F4FD9" w:rsidRDefault="007F4FD9" w:rsidP="007F4FD9">
      <w:pPr>
        <w:spacing w:after="0"/>
      </w:pPr>
    </w:p>
    <w:p w14:paraId="41AFE852" w14:textId="1BAFCF7C" w:rsidR="00E6130D" w:rsidRDefault="00AC0281" w:rsidP="00A26D3F">
      <w:pPr>
        <w:spacing w:after="0" w:line="240" w:lineRule="auto"/>
      </w:pPr>
      <w:r w:rsidRPr="007F4FD9">
        <w:t xml:space="preserve">Not all countries have an </w:t>
      </w:r>
      <w:hyperlink r:id="rId13" w:history="1">
        <w:r w:rsidR="00F03E82">
          <w:rPr>
            <w:rStyle w:val="Hyperlink"/>
          </w:rPr>
          <w:t>applicable IRB/EC</w:t>
        </w:r>
      </w:hyperlink>
      <w:r w:rsidR="00966DB3" w:rsidRPr="007F4FD9">
        <w:t xml:space="preserve"> </w:t>
      </w:r>
      <w:r w:rsidR="00037CE9" w:rsidRPr="007F4FD9">
        <w:t xml:space="preserve">to </w:t>
      </w:r>
      <w:r w:rsidRPr="007F4FD9">
        <w:t>cover your type of study (e.g., social/behavioral)</w:t>
      </w:r>
      <w:r w:rsidR="00A26D3F" w:rsidRPr="007F4FD9">
        <w:t>, and a l</w:t>
      </w:r>
      <w:r w:rsidRPr="007F4FD9">
        <w:t>ocal collaborator</w:t>
      </w:r>
      <w:r w:rsidR="004B6068" w:rsidRPr="007F4FD9">
        <w:t>(s)</w:t>
      </w:r>
      <w:r w:rsidRPr="007F4FD9">
        <w:t xml:space="preserve"> may </w:t>
      </w:r>
      <w:r w:rsidR="00966DB3" w:rsidRPr="007F4FD9">
        <w:t>be affiliated with or know of</w:t>
      </w:r>
      <w:r w:rsidRPr="007F4FD9">
        <w:t xml:space="preserve"> an </w:t>
      </w:r>
      <w:r w:rsidR="00F03E82">
        <w:t>IRB/</w:t>
      </w:r>
      <w:r w:rsidRPr="007F4FD9">
        <w:t>EC that can conduct a review</w:t>
      </w:r>
      <w:r w:rsidR="00A26D3F" w:rsidRPr="007F4FD9">
        <w:t>. Also, a</w:t>
      </w:r>
      <w:r w:rsidR="004B6068" w:rsidRPr="007F4FD9">
        <w:t xml:space="preserve"> l</w:t>
      </w:r>
      <w:r w:rsidRPr="007F4FD9">
        <w:t xml:space="preserve">ocal NGO </w:t>
      </w:r>
      <w:r w:rsidR="004B6068" w:rsidRPr="007F4FD9">
        <w:t xml:space="preserve">in a related field </w:t>
      </w:r>
      <w:r w:rsidRPr="007F4FD9">
        <w:t>(not involved in the study) may review for cultural appropriateness</w:t>
      </w:r>
      <w:r w:rsidR="00037CE9" w:rsidRPr="007F4FD9">
        <w:t>.</w:t>
      </w:r>
    </w:p>
    <w:p w14:paraId="26A3C07E" w14:textId="77777777" w:rsidR="007F4FD9" w:rsidRPr="007F4FD9" w:rsidRDefault="007F4FD9" w:rsidP="00A26D3F">
      <w:pPr>
        <w:spacing w:after="0" w:line="240" w:lineRule="auto"/>
      </w:pPr>
    </w:p>
    <w:p w14:paraId="3EF3B3EA" w14:textId="42B782CA" w:rsidR="00E6130D" w:rsidRPr="007F4FD9" w:rsidRDefault="00E6130D" w:rsidP="007F4FD9">
      <w:pPr>
        <w:spacing w:after="0" w:line="240" w:lineRule="auto"/>
      </w:pPr>
      <w:r w:rsidRPr="007C31DC">
        <w:rPr>
          <w:b/>
        </w:rPr>
        <w:t>Respect the community</w:t>
      </w:r>
      <w:r w:rsidRPr="007F4FD9">
        <w:t xml:space="preserve">. Poor design, inadequate time and/or resources inconvenience and increase risk to participants. </w:t>
      </w:r>
      <w:r w:rsidR="00F03E82">
        <w:t xml:space="preserve">Conducting </w:t>
      </w:r>
      <w:proofErr w:type="gramStart"/>
      <w:r w:rsidR="00F03E82">
        <w:t>research</w:t>
      </w:r>
      <w:proofErr w:type="gramEnd"/>
      <w:r w:rsidR="00F03E82">
        <w:t xml:space="preserve"> no effort to return results or value to the community </w:t>
      </w:r>
      <w:r w:rsidRPr="007F4FD9">
        <w:t>disrespects participants and likely compromises research. Work with local organizations to understand whether your research is of use to the community BEFORE you propose a study, as communities may resist research without obvious benefits to them. Lastly, plan for dissemination of results with the community when the study is complete.</w:t>
      </w:r>
    </w:p>
    <w:p w14:paraId="46B47AD9" w14:textId="53B05C07" w:rsidR="00E6130D" w:rsidRPr="007F4FD9" w:rsidRDefault="00E6130D" w:rsidP="00A26D3F">
      <w:pPr>
        <w:spacing w:after="0" w:line="240" w:lineRule="auto"/>
      </w:pPr>
    </w:p>
    <w:p w14:paraId="332A6EE7" w14:textId="17B86D80" w:rsidR="00CE106D" w:rsidRPr="007F4FD9" w:rsidRDefault="00E6130D" w:rsidP="007F4FD9">
      <w:r w:rsidRPr="007C31DC">
        <w:rPr>
          <w:b/>
        </w:rPr>
        <w:t>Planning</w:t>
      </w:r>
      <w:r w:rsidRPr="007F4FD9">
        <w:t>. International research is almost always more complex than US based research due to</w:t>
      </w:r>
      <w:r w:rsidR="00817CF7" w:rsidRPr="007F4FD9">
        <w:t xml:space="preserve"> l</w:t>
      </w:r>
      <w:r w:rsidRPr="007F4FD9">
        <w:t xml:space="preserve">ogistics, infrastructure, language, limited time, and varying priorities. </w:t>
      </w:r>
      <w:proofErr w:type="gramStart"/>
      <w:r w:rsidRPr="007F4FD9">
        <w:t>If at all possible</w:t>
      </w:r>
      <w:proofErr w:type="gramEnd"/>
      <w:r w:rsidRPr="007F4FD9">
        <w:t>, do a preliminary trip to the research site to sort out details and/or work with faculty with international research projects</w:t>
      </w:r>
      <w:r w:rsidR="00817CF7" w:rsidRPr="007F4FD9">
        <w:t xml:space="preserve">. </w:t>
      </w:r>
      <w:r w:rsidR="00817CF7" w:rsidRPr="007F4FD9">
        <w:rPr>
          <w:rFonts w:cstheme="minorHAnsi"/>
        </w:rPr>
        <w:t xml:space="preserve">Connect with other international researchers, particularly through </w:t>
      </w:r>
      <w:r w:rsidR="00817CF7" w:rsidRPr="007F4FD9">
        <w:t xml:space="preserve">the </w:t>
      </w:r>
      <w:r w:rsidRPr="007F4FD9">
        <w:t>Center for Global Health</w:t>
      </w:r>
      <w:r w:rsidR="00817CF7" w:rsidRPr="007F4FD9">
        <w:t xml:space="preserve"> or COMIRB.</w:t>
      </w:r>
    </w:p>
    <w:p w14:paraId="08714A5D" w14:textId="194D7775" w:rsidR="00542407" w:rsidRPr="007F4FD9" w:rsidRDefault="00F26D27" w:rsidP="007C31DC">
      <w:pPr>
        <w:spacing w:after="0" w:line="240" w:lineRule="auto"/>
      </w:pPr>
      <w:r w:rsidRPr="007F4FD9">
        <w:t>The COMIRB</w:t>
      </w:r>
      <w:r w:rsidR="00AC0281" w:rsidRPr="007F4FD9">
        <w:t xml:space="preserve"> International Research Advisory Committee (IRAC) reviews </w:t>
      </w:r>
      <w:r w:rsidRPr="007F4FD9">
        <w:t xml:space="preserve">all </w:t>
      </w:r>
      <w:r w:rsidR="00AC0281" w:rsidRPr="007F4FD9">
        <w:t xml:space="preserve">international studies and advises the </w:t>
      </w:r>
      <w:r w:rsidR="00CE106D" w:rsidRPr="007F4FD9">
        <w:t xml:space="preserve">COMIRB </w:t>
      </w:r>
      <w:r w:rsidR="00AC0281" w:rsidRPr="007F4FD9">
        <w:t>IRB reviewers</w:t>
      </w:r>
      <w:r w:rsidRPr="007F4FD9">
        <w:t xml:space="preserve"> on international concerns.</w:t>
      </w:r>
      <w:r w:rsidR="005C49A8" w:rsidRPr="007F4FD9">
        <w:t xml:space="preserve">  The review will include at least one person familiar with the country/region in question.</w:t>
      </w:r>
      <w:r w:rsidR="007F4FD9">
        <w:t xml:space="preserve"> IRAC meets twice a month and the more detail provided in the submission (especially in the COMIRB application form), the more efficient the review. </w:t>
      </w:r>
      <w:r w:rsidR="00AC0281" w:rsidRPr="007F4FD9">
        <w:t>Build in extra time for review (minimum 2 months)</w:t>
      </w:r>
      <w:r w:rsidR="007F4FD9">
        <w:t xml:space="preserve"> to go through this </w:t>
      </w:r>
      <w:proofErr w:type="gramStart"/>
      <w:r w:rsidR="007F4FD9">
        <w:t>process, and</w:t>
      </w:r>
      <w:proofErr w:type="gramEnd"/>
      <w:r w:rsidR="007F4FD9">
        <w:t xml:space="preserve"> contact COMIRB to talk through any issues before submitting.</w:t>
      </w:r>
    </w:p>
    <w:p w14:paraId="0BAE0EBD" w14:textId="77777777" w:rsidR="007C31DC" w:rsidRDefault="007C31DC" w:rsidP="007C31DC">
      <w:pPr>
        <w:spacing w:after="0" w:line="240" w:lineRule="auto"/>
      </w:pPr>
    </w:p>
    <w:p w14:paraId="67700FD8" w14:textId="47B87D5C" w:rsidR="00542407" w:rsidRPr="00F26D27" w:rsidRDefault="00AC0281" w:rsidP="007C31DC">
      <w:pPr>
        <w:spacing w:after="0" w:line="240" w:lineRule="auto"/>
      </w:pPr>
      <w:r w:rsidRPr="00F26D27">
        <w:t>You may not conduct your research without a completed review</w:t>
      </w:r>
      <w:r w:rsidR="009C69B3">
        <w:t>, including local in-country ethics review</w:t>
      </w:r>
      <w:r w:rsidR="007F4FD9">
        <w:t xml:space="preserve">, so make sure to </w:t>
      </w:r>
      <w:proofErr w:type="gramStart"/>
      <w:r w:rsidR="007F4FD9">
        <w:t>plan ahead</w:t>
      </w:r>
      <w:proofErr w:type="gramEnd"/>
      <w:r w:rsidR="007F4FD9">
        <w:t xml:space="preserve">. </w:t>
      </w:r>
      <w:r w:rsidRPr="00F26D27">
        <w:t xml:space="preserve">If you plan to use local research assistants, develop a reasonable training plan and plan for oversight of the research </w:t>
      </w:r>
    </w:p>
    <w:p w14:paraId="511CB246" w14:textId="2DAA8371" w:rsidR="009C63E7" w:rsidRDefault="009C63E7" w:rsidP="007C31DC">
      <w:pPr>
        <w:spacing w:after="0" w:line="240" w:lineRule="auto"/>
      </w:pPr>
    </w:p>
    <w:p w14:paraId="50EAA530" w14:textId="66B89CA7" w:rsidR="007F4FD9" w:rsidRDefault="007F4FD9" w:rsidP="007F4FD9">
      <w:r>
        <w:t xml:space="preserve">While in-country, if the investigator has internet access, we recommend that unanticipated problems, complaints, or adverse events be reported to COMIRB through </w:t>
      </w:r>
      <w:proofErr w:type="spellStart"/>
      <w:r>
        <w:t>InfoEd</w:t>
      </w:r>
      <w:proofErr w:type="spellEnd"/>
      <w:r>
        <w:t xml:space="preserve">. If internet access is intermittent or technology fails, email COMIRB with key information. </w:t>
      </w:r>
    </w:p>
    <w:p w14:paraId="7E48B780" w14:textId="77777777" w:rsidR="002F547C" w:rsidRDefault="002F547C" w:rsidP="002F547C">
      <w:pPr>
        <w:spacing w:after="0" w:line="240" w:lineRule="auto"/>
      </w:pPr>
    </w:p>
    <w:p w14:paraId="46B4A641" w14:textId="77777777" w:rsidR="002F547C" w:rsidRPr="004B6068" w:rsidRDefault="002F547C" w:rsidP="002F547C">
      <w:pPr>
        <w:spacing w:after="0" w:line="240" w:lineRule="auto"/>
        <w:rPr>
          <w:sz w:val="28"/>
          <w:szCs w:val="28"/>
          <w:u w:val="single"/>
        </w:rPr>
      </w:pPr>
      <w:r w:rsidRPr="004B6068">
        <w:rPr>
          <w:sz w:val="28"/>
          <w:szCs w:val="28"/>
          <w:u w:val="single"/>
        </w:rPr>
        <w:t>Resources</w:t>
      </w:r>
    </w:p>
    <w:p w14:paraId="1B5AF617" w14:textId="44ECE0D8" w:rsidR="002F547C" w:rsidRDefault="002F547C" w:rsidP="002F547C">
      <w:r w:rsidRPr="00FC781F">
        <w:t xml:space="preserve">OHRP has helpful reference materials for </w:t>
      </w:r>
      <w:hyperlink r:id="rId14" w:history="1">
        <w:r w:rsidRPr="0049313B">
          <w:rPr>
            <w:rStyle w:val="Hyperlink"/>
          </w:rPr>
          <w:t>international research</w:t>
        </w:r>
      </w:hyperlink>
      <w:r w:rsidRPr="00FC781F">
        <w:t xml:space="preserve">, including a searchable database for </w:t>
      </w:r>
      <w:hyperlink r:id="rId15" w:history="1">
        <w:r w:rsidRPr="0049313B">
          <w:rPr>
            <w:rStyle w:val="Hyperlink"/>
          </w:rPr>
          <w:t>international IRBs</w:t>
        </w:r>
      </w:hyperlink>
      <w:r>
        <w:t xml:space="preserve"> and country </w:t>
      </w:r>
      <w:r w:rsidRPr="00FC781F">
        <w:t xml:space="preserve">specific listings of </w:t>
      </w:r>
      <w:hyperlink r:id="rId16" w:history="1">
        <w:r w:rsidRPr="0049313B">
          <w:rPr>
            <w:rStyle w:val="Hyperlink"/>
          </w:rPr>
          <w:t>local laws</w:t>
        </w:r>
      </w:hyperlink>
      <w:r w:rsidRPr="00FC781F">
        <w:t xml:space="preserve"> related to Drugs/Devices, Privacy/Data Protection, Biological Samples, Genetic Research, and Embryo/Stem Cell research.  </w:t>
      </w:r>
    </w:p>
    <w:p w14:paraId="460F329F" w14:textId="77777777" w:rsidR="00037CE9" w:rsidRDefault="00037CE9" w:rsidP="00D73103">
      <w:pPr>
        <w:spacing w:after="0" w:line="240" w:lineRule="auto"/>
      </w:pPr>
    </w:p>
    <w:p w14:paraId="16D6CB2A" w14:textId="3D936519" w:rsidR="00D73103" w:rsidRPr="007F4FD9" w:rsidRDefault="00D73103" w:rsidP="007C31DC">
      <w:pPr>
        <w:spacing w:after="0" w:line="240" w:lineRule="auto"/>
        <w:ind w:right="-20"/>
        <w:rPr>
          <w:rFonts w:cstheme="minorHAnsi"/>
        </w:rPr>
      </w:pPr>
      <w:r w:rsidRPr="007C31DC">
        <w:rPr>
          <w:w w:val="93"/>
          <w:sz w:val="28"/>
          <w:u w:val="single"/>
        </w:rPr>
        <w:t>VA</w:t>
      </w:r>
      <w:r w:rsidRPr="007C31DC">
        <w:rPr>
          <w:spacing w:val="-13"/>
          <w:w w:val="93"/>
          <w:sz w:val="28"/>
          <w:u w:val="single"/>
        </w:rPr>
        <w:t xml:space="preserve"> </w:t>
      </w:r>
      <w:r w:rsidRPr="007C31DC">
        <w:rPr>
          <w:sz w:val="28"/>
          <w:u w:val="single"/>
        </w:rPr>
        <w:t>Regulations</w:t>
      </w:r>
      <w:r w:rsidR="00B3209A" w:rsidRPr="007F4FD9">
        <w:rPr>
          <w:rFonts w:eastAsia="Arial" w:cstheme="minorHAnsi"/>
          <w:bCs/>
          <w:sz w:val="28"/>
          <w:szCs w:val="28"/>
        </w:rPr>
        <w:t xml:space="preserve"> </w:t>
      </w:r>
      <w:r w:rsidR="00B3209A" w:rsidRPr="007F4FD9">
        <w:rPr>
          <w:rFonts w:eastAsia="Arial" w:cstheme="minorHAnsi"/>
          <w:bCs/>
          <w:sz w:val="24"/>
          <w:szCs w:val="24"/>
        </w:rPr>
        <w:t>(</w:t>
      </w:r>
      <w:r w:rsidR="00B3209A" w:rsidRPr="007F4FD9">
        <w:rPr>
          <w:rFonts w:cstheme="minorHAnsi"/>
          <w:sz w:val="24"/>
          <w:szCs w:val="24"/>
        </w:rPr>
        <w:t>VHA DIRECTIVE 1200.05)</w:t>
      </w:r>
      <w:r w:rsidRPr="007F4FD9">
        <w:rPr>
          <w:rFonts w:eastAsia="Arial" w:cstheme="minorHAnsi"/>
          <w:b/>
          <w:bCs/>
          <w:sz w:val="24"/>
          <w:szCs w:val="24"/>
        </w:rPr>
        <w:t>:</w:t>
      </w:r>
    </w:p>
    <w:p w14:paraId="493CBD49" w14:textId="53F6F193" w:rsidR="00D73103" w:rsidRPr="007F4FD9" w:rsidRDefault="00D73103" w:rsidP="007C31DC">
      <w:pPr>
        <w:spacing w:after="0" w:line="240" w:lineRule="auto"/>
        <w:ind w:right="-20"/>
        <w:rPr>
          <w:rFonts w:cstheme="minorHAnsi"/>
        </w:rPr>
      </w:pPr>
      <w:r w:rsidRPr="007C31DC">
        <w:t xml:space="preserve">VHA policy states that permission must be obtained </w:t>
      </w:r>
      <w:r w:rsidR="00B3209A">
        <w:rPr>
          <w:rFonts w:eastAsia="Arial" w:cstheme="minorHAnsi"/>
        </w:rPr>
        <w:t xml:space="preserve">in writing </w:t>
      </w:r>
      <w:r w:rsidRPr="007F4FD9">
        <w:rPr>
          <w:rFonts w:eastAsia="Arial" w:cstheme="minorHAnsi"/>
        </w:rPr>
        <w:t xml:space="preserve">from the </w:t>
      </w:r>
      <w:hyperlink r:id="rId17" w:history="1">
        <w:r w:rsidRPr="007F4FD9">
          <w:rPr>
            <w:rStyle w:val="Hyperlink"/>
            <w:rFonts w:eastAsia="Arial" w:cstheme="minorHAnsi"/>
          </w:rPr>
          <w:t>Facility Director</w:t>
        </w:r>
      </w:hyperlink>
      <w:r w:rsidRPr="007F4FD9">
        <w:rPr>
          <w:rFonts w:eastAsia="Arial" w:cstheme="minorHAnsi"/>
        </w:rPr>
        <w:t xml:space="preserve"> </w:t>
      </w:r>
      <w:r w:rsidR="00B3209A">
        <w:rPr>
          <w:rFonts w:eastAsia="Arial" w:cstheme="minorHAnsi"/>
        </w:rPr>
        <w:t>(</w:t>
      </w:r>
      <w:r w:rsidR="00B3209A" w:rsidRPr="00B3209A">
        <w:rPr>
          <w:rFonts w:cstheme="minorHAnsi"/>
        </w:rPr>
        <w:t>except for Cooperative Studies Program activities which must be approved by the CRADO</w:t>
      </w:r>
      <w:r w:rsidR="00B3209A">
        <w:rPr>
          <w:rFonts w:cstheme="minorHAnsi"/>
        </w:rPr>
        <w:t>)</w:t>
      </w:r>
      <w:r w:rsidR="00B3209A" w:rsidRPr="007C31DC">
        <w:t xml:space="preserve"> </w:t>
      </w:r>
      <w:r w:rsidRPr="007C31DC">
        <w:t>prior to</w:t>
      </w:r>
      <w:r w:rsidR="006D5B7C" w:rsidRPr="007C31DC">
        <w:t xml:space="preserve"> </w:t>
      </w:r>
      <w:r w:rsidRPr="007C31DC">
        <w:t>initiating any international research that meets the following definition:</w:t>
      </w:r>
    </w:p>
    <w:p w14:paraId="3D6C77E8" w14:textId="18365FC0" w:rsidR="00B3209A" w:rsidRDefault="00B3209A" w:rsidP="007C31DC">
      <w:pPr>
        <w:spacing w:after="0" w:line="240" w:lineRule="auto"/>
        <w:ind w:right="-20"/>
        <w:rPr>
          <w:rFonts w:cstheme="minorHAnsi"/>
        </w:rPr>
      </w:pPr>
    </w:p>
    <w:p w14:paraId="22BC989C" w14:textId="6B69C868" w:rsidR="00B3209A" w:rsidRDefault="00B3209A" w:rsidP="00B3209A">
      <w:pPr>
        <w:pStyle w:val="ListParagraph"/>
        <w:numPr>
          <w:ilvl w:val="0"/>
          <w:numId w:val="9"/>
        </w:numPr>
        <w:spacing w:after="0" w:line="240" w:lineRule="auto"/>
        <w:ind w:right="-20"/>
        <w:rPr>
          <w:rFonts w:cstheme="minorHAnsi"/>
        </w:rPr>
      </w:pPr>
      <w:r w:rsidRPr="007C31DC">
        <w:t>VA-approved research conducted at international sites (</w:t>
      </w:r>
      <w:r w:rsidRPr="00277551">
        <w:rPr>
          <w:rFonts w:cstheme="minorHAnsi"/>
        </w:rPr>
        <w:t xml:space="preserve">i.e., </w:t>
      </w:r>
      <w:r w:rsidRPr="007C31DC">
        <w:t xml:space="preserve">not within the </w:t>
      </w:r>
      <w:r w:rsidRPr="00277551">
        <w:rPr>
          <w:rFonts w:cstheme="minorHAnsi"/>
        </w:rPr>
        <w:t>United States (</w:t>
      </w:r>
      <w:r w:rsidRPr="007C31DC">
        <w:t>U.S</w:t>
      </w:r>
      <w:r w:rsidRPr="00277551">
        <w:rPr>
          <w:rFonts w:cstheme="minorHAnsi"/>
        </w:rPr>
        <w:t>.),</w:t>
      </w:r>
      <w:r w:rsidRPr="007C31DC">
        <w:t xml:space="preserve"> its territories, or Commonwealths)</w:t>
      </w:r>
    </w:p>
    <w:p w14:paraId="38375FEE" w14:textId="77777777" w:rsidR="00B3209A" w:rsidRDefault="00B3209A" w:rsidP="00B3209A">
      <w:pPr>
        <w:pStyle w:val="ListParagraph"/>
        <w:numPr>
          <w:ilvl w:val="0"/>
          <w:numId w:val="9"/>
        </w:numPr>
        <w:spacing w:after="0" w:line="240" w:lineRule="auto"/>
        <w:ind w:right="-20"/>
        <w:rPr>
          <w:rFonts w:cstheme="minorHAnsi"/>
        </w:rPr>
      </w:pPr>
      <w:r w:rsidRPr="007C31DC">
        <w:t xml:space="preserve">VA-approved research using either </w:t>
      </w:r>
      <w:r w:rsidRPr="00277551">
        <w:rPr>
          <w:rFonts w:cstheme="minorHAnsi"/>
        </w:rPr>
        <w:t xml:space="preserve">identifiable or de-identified </w:t>
      </w:r>
      <w:r w:rsidRPr="007C31DC">
        <w:t xml:space="preserve">human biological specimens or </w:t>
      </w:r>
      <w:r w:rsidRPr="00277551">
        <w:rPr>
          <w:rFonts w:cstheme="minorHAnsi"/>
        </w:rPr>
        <w:t xml:space="preserve">identifiable or de-identified </w:t>
      </w:r>
      <w:r w:rsidRPr="007C31DC">
        <w:t xml:space="preserve">human data originating from </w:t>
      </w:r>
      <w:r w:rsidRPr="00277551">
        <w:rPr>
          <w:rFonts w:cstheme="minorHAnsi"/>
        </w:rPr>
        <w:t>international sites</w:t>
      </w:r>
    </w:p>
    <w:p w14:paraId="3F67FD56" w14:textId="4029E555" w:rsidR="00B3209A" w:rsidRDefault="00B3209A" w:rsidP="00B3209A">
      <w:pPr>
        <w:pStyle w:val="ListParagraph"/>
        <w:numPr>
          <w:ilvl w:val="0"/>
          <w:numId w:val="9"/>
        </w:numPr>
        <w:spacing w:after="0" w:line="240" w:lineRule="auto"/>
        <w:ind w:right="-20"/>
        <w:rPr>
          <w:rFonts w:cstheme="minorHAnsi"/>
        </w:rPr>
      </w:pPr>
      <w:r w:rsidRPr="00277551">
        <w:rPr>
          <w:rFonts w:cstheme="minorHAnsi"/>
        </w:rPr>
        <w:t xml:space="preserve">VA-approved research that entails sending such specimens or data out of the U.S. </w:t>
      </w:r>
    </w:p>
    <w:p w14:paraId="79D563EB" w14:textId="77777777" w:rsidR="00B3209A" w:rsidRPr="007F4FD9" w:rsidRDefault="00B3209A" w:rsidP="007C31DC">
      <w:pPr>
        <w:spacing w:after="0" w:line="240" w:lineRule="auto"/>
        <w:ind w:right="-20"/>
        <w:rPr>
          <w:rFonts w:cstheme="minorHAnsi"/>
        </w:rPr>
      </w:pPr>
    </w:p>
    <w:p w14:paraId="7A9CC0C5" w14:textId="7F4A3AF2" w:rsidR="000E4469" w:rsidRDefault="000E4469" w:rsidP="000E4469">
      <w:pPr>
        <w:spacing w:before="10" w:after="0" w:line="250" w:lineRule="auto"/>
        <w:ind w:right="-20"/>
      </w:pPr>
      <w:r>
        <w:t xml:space="preserve">All international sites must hold an international </w:t>
      </w:r>
      <w:proofErr w:type="spellStart"/>
      <w:r>
        <w:t>Federalwide</w:t>
      </w:r>
      <w:proofErr w:type="spellEnd"/>
      <w:r>
        <w:t xml:space="preserve"> assurance, and the research must be approved by the IRB or Ethics Committee of the participating sites listed on the international </w:t>
      </w:r>
      <w:proofErr w:type="spellStart"/>
      <w:r>
        <w:t>Federalwide</w:t>
      </w:r>
      <w:proofErr w:type="spellEnd"/>
      <w:r>
        <w:t xml:space="preserve"> assurance.</w:t>
      </w:r>
    </w:p>
    <w:p w14:paraId="5DC44B7A" w14:textId="77777777" w:rsidR="000E4469" w:rsidRDefault="000E4469" w:rsidP="000E4469">
      <w:pPr>
        <w:spacing w:before="10" w:after="0" w:line="250" w:lineRule="auto"/>
        <w:ind w:right="-20"/>
      </w:pPr>
    </w:p>
    <w:p w14:paraId="080A4F15" w14:textId="6A9C3189" w:rsidR="000E4469" w:rsidRDefault="000E4469" w:rsidP="000E4469">
      <w:pPr>
        <w:spacing w:before="10" w:after="0" w:line="250" w:lineRule="auto"/>
        <w:ind w:right="-20"/>
      </w:pPr>
      <w:r>
        <w:t>The researcher must conduct the research in accordance with VA requirements and all other applicable federal requirements for protecting human participants, tissue banking, use of databases, federal criminal laws, and the standards of ethical conduct for employees of the executive branch.</w:t>
      </w:r>
    </w:p>
    <w:p w14:paraId="4794E60A" w14:textId="77777777" w:rsidR="000E4469" w:rsidRDefault="000E4469" w:rsidP="007F4FD9">
      <w:pPr>
        <w:spacing w:before="10" w:after="0" w:line="250" w:lineRule="auto"/>
        <w:ind w:right="-20"/>
      </w:pPr>
    </w:p>
    <w:p w14:paraId="73D6284F" w14:textId="1B9894E5" w:rsidR="00B3209A" w:rsidRPr="007F4FD9" w:rsidRDefault="00B3209A" w:rsidP="007F4FD9">
      <w:pPr>
        <w:spacing w:before="10" w:after="0" w:line="250" w:lineRule="auto"/>
        <w:ind w:right="-20"/>
        <w:rPr>
          <w:rFonts w:eastAsia="Arial" w:cstheme="minorHAnsi"/>
        </w:rPr>
      </w:pPr>
      <w:r w:rsidRPr="007C31DC">
        <w:t>The above definition of international research applies even if the research does not meet the definition of human subject rese</w:t>
      </w:r>
      <w:r w:rsidRPr="007C31DC">
        <w:rPr>
          <w:spacing w:val="1"/>
        </w:rPr>
        <w:t>a</w:t>
      </w:r>
      <w:r w:rsidRPr="007C31DC">
        <w:t xml:space="preserve">rch requiring IRB review (e.g., if the investigator receives anonymous human samples or data from an international source). </w:t>
      </w:r>
      <w:r w:rsidRPr="00277551">
        <w:rPr>
          <w:rFonts w:eastAsia="Arial" w:cstheme="minorHAnsi"/>
        </w:rPr>
        <w:t>NHSR at the VA still requires approval and oversight by the VA R&amp;D Committee.</w:t>
      </w:r>
    </w:p>
    <w:p w14:paraId="25EC598D" w14:textId="77777777" w:rsidR="00B3209A" w:rsidRPr="007F4FD9" w:rsidRDefault="00B3209A" w:rsidP="007F4FD9">
      <w:pPr>
        <w:spacing w:after="0" w:line="240" w:lineRule="auto"/>
        <w:ind w:right="-20"/>
        <w:rPr>
          <w:rFonts w:cstheme="minorHAnsi"/>
        </w:rPr>
      </w:pPr>
    </w:p>
    <w:p w14:paraId="4B812344" w14:textId="77777777" w:rsidR="00B3209A" w:rsidRDefault="00B3209A" w:rsidP="00B3209A">
      <w:pPr>
        <w:pStyle w:val="ListParagraph"/>
        <w:numPr>
          <w:ilvl w:val="0"/>
          <w:numId w:val="9"/>
        </w:numPr>
        <w:spacing w:after="0" w:line="240" w:lineRule="auto"/>
        <w:ind w:right="-20"/>
        <w:rPr>
          <w:rFonts w:cstheme="minorHAnsi"/>
        </w:rPr>
      </w:pPr>
      <w:r>
        <w:rPr>
          <w:rFonts w:cstheme="minorHAnsi"/>
        </w:rPr>
        <w:t>Examples</w:t>
      </w:r>
    </w:p>
    <w:p w14:paraId="1D03BDC3" w14:textId="71ECA93B" w:rsidR="00B3209A" w:rsidRDefault="00B3209A" w:rsidP="007C31DC">
      <w:pPr>
        <w:pStyle w:val="ListParagraph"/>
        <w:numPr>
          <w:ilvl w:val="1"/>
          <w:numId w:val="9"/>
        </w:numPr>
        <w:spacing w:after="0" w:line="240" w:lineRule="auto"/>
        <w:ind w:left="1080" w:right="-20"/>
        <w:rPr>
          <w:rFonts w:cstheme="minorHAnsi"/>
        </w:rPr>
      </w:pPr>
      <w:r w:rsidRPr="00B3209A">
        <w:rPr>
          <w:rFonts w:cstheme="minorHAnsi"/>
        </w:rPr>
        <w:t xml:space="preserve">Sending specimens or data to individuals with VA appointments at international sites (e.g., a WOC appointment, a VA investigator on sabbatical at </w:t>
      </w:r>
      <w:r w:rsidRPr="007C31DC">
        <w:t>an international site</w:t>
      </w:r>
      <w:r w:rsidRPr="00B3209A">
        <w:rPr>
          <w:rFonts w:cstheme="minorHAnsi"/>
        </w:rPr>
        <w:t>) is</w:t>
      </w:r>
      <w:r w:rsidRPr="007C31DC">
        <w:t xml:space="preserve"> considered international research.</w:t>
      </w:r>
      <w:r w:rsidRPr="00B3209A">
        <w:rPr>
          <w:rFonts w:cstheme="minorHAnsi"/>
        </w:rPr>
        <w:t xml:space="preserve"> Remote use of data that is maintained on VA computers within the U.S. or Puerto Rico and U.S. territories accessed via a secure connection is not considered international research.</w:t>
      </w:r>
    </w:p>
    <w:p w14:paraId="629D5E49" w14:textId="77777777" w:rsidR="00B3209A" w:rsidRDefault="00B3209A" w:rsidP="007F4FD9">
      <w:pPr>
        <w:pStyle w:val="ListParagraph"/>
        <w:spacing w:after="0" w:line="240" w:lineRule="auto"/>
        <w:ind w:left="1080" w:right="-20" w:hanging="360"/>
        <w:rPr>
          <w:rFonts w:cstheme="minorHAnsi"/>
        </w:rPr>
      </w:pPr>
    </w:p>
    <w:p w14:paraId="57BC534B" w14:textId="4A3714A0" w:rsidR="00B3209A" w:rsidRDefault="00B3209A" w:rsidP="007F4FD9">
      <w:pPr>
        <w:pStyle w:val="ListParagraph"/>
        <w:numPr>
          <w:ilvl w:val="1"/>
          <w:numId w:val="9"/>
        </w:numPr>
        <w:spacing w:after="0" w:line="240" w:lineRule="auto"/>
        <w:ind w:left="1080" w:right="-20"/>
        <w:rPr>
          <w:rFonts w:cstheme="minorHAnsi"/>
        </w:rPr>
      </w:pPr>
      <w:r w:rsidRPr="007F4FD9">
        <w:rPr>
          <w:rFonts w:cstheme="minorHAnsi"/>
        </w:rPr>
        <w:t>International research includes multi-site trials involving non-U.S. sites where VA is the study sponsor, a VA investigator is the overall study-wide PI, VA holds the Investigational New Drug (IND), or the VA manages the data collection and the data analyses.</w:t>
      </w:r>
    </w:p>
    <w:p w14:paraId="3E1F0C80" w14:textId="77777777" w:rsidR="00B3209A" w:rsidRPr="007F4FD9" w:rsidRDefault="00B3209A" w:rsidP="007F4FD9">
      <w:pPr>
        <w:spacing w:after="0" w:line="240" w:lineRule="auto"/>
        <w:ind w:left="1080" w:right="-20" w:hanging="360"/>
        <w:rPr>
          <w:rFonts w:cstheme="minorHAnsi"/>
        </w:rPr>
      </w:pPr>
    </w:p>
    <w:p w14:paraId="7073B680" w14:textId="77777777" w:rsidR="00B3209A" w:rsidRDefault="00B3209A" w:rsidP="007F4FD9">
      <w:pPr>
        <w:pStyle w:val="ListParagraph"/>
        <w:numPr>
          <w:ilvl w:val="1"/>
          <w:numId w:val="9"/>
        </w:numPr>
        <w:spacing w:after="0" w:line="240" w:lineRule="auto"/>
        <w:ind w:left="1080" w:right="-20"/>
        <w:rPr>
          <w:rFonts w:cstheme="minorHAnsi"/>
        </w:rPr>
      </w:pPr>
      <w:r w:rsidRPr="007F4FD9">
        <w:rPr>
          <w:rFonts w:cstheme="minorHAnsi"/>
        </w:rPr>
        <w:t xml:space="preserve">International research </w:t>
      </w:r>
      <w:r w:rsidRPr="00974250">
        <w:rPr>
          <w:rFonts w:cstheme="minorHAnsi"/>
        </w:rPr>
        <w:t>does not include</w:t>
      </w:r>
      <w:r w:rsidRPr="007F4FD9">
        <w:rPr>
          <w:rFonts w:cstheme="minorHAnsi"/>
        </w:rPr>
        <w:t xml:space="preserve"> studies in which VA is only one of multiple participating sites where the overall study-wide PI is not a VA investigator (i.e., the PI for the study </w:t>
      </w:r>
      <w:proofErr w:type="gramStart"/>
      <w:r w:rsidRPr="007F4FD9">
        <w:rPr>
          <w:rFonts w:cstheme="minorHAnsi"/>
        </w:rPr>
        <w:t>as a whole is</w:t>
      </w:r>
      <w:proofErr w:type="gramEnd"/>
      <w:r w:rsidRPr="007F4FD9">
        <w:rPr>
          <w:rFonts w:cstheme="minorHAnsi"/>
        </w:rPr>
        <w:t xml:space="preserve"> not a VA investigator).</w:t>
      </w:r>
    </w:p>
    <w:p w14:paraId="222D2EBC" w14:textId="77777777" w:rsidR="00B3209A" w:rsidRPr="007F4FD9" w:rsidRDefault="00B3209A" w:rsidP="007F4FD9">
      <w:pPr>
        <w:pStyle w:val="ListParagraph"/>
        <w:ind w:left="1080" w:hanging="360"/>
        <w:rPr>
          <w:rFonts w:cstheme="minorHAnsi"/>
        </w:rPr>
      </w:pPr>
    </w:p>
    <w:p w14:paraId="191C61D5" w14:textId="7B83201B" w:rsidR="00B3209A" w:rsidRPr="007F4FD9" w:rsidRDefault="00B3209A" w:rsidP="007F4FD9">
      <w:pPr>
        <w:pStyle w:val="ListParagraph"/>
        <w:numPr>
          <w:ilvl w:val="1"/>
          <w:numId w:val="9"/>
        </w:numPr>
        <w:spacing w:after="0" w:line="240" w:lineRule="auto"/>
        <w:ind w:left="1080" w:right="-20"/>
        <w:rPr>
          <w:rFonts w:cstheme="minorHAnsi"/>
        </w:rPr>
      </w:pPr>
      <w:r w:rsidRPr="007F4FD9">
        <w:rPr>
          <w:rFonts w:cstheme="minorHAnsi"/>
        </w:rPr>
        <w:t xml:space="preserve">Research conducted at U.S. military bases, ships, or embassies is </w:t>
      </w:r>
      <w:r w:rsidRPr="00974250">
        <w:rPr>
          <w:rFonts w:cstheme="minorHAnsi"/>
        </w:rPr>
        <w:t>not</w:t>
      </w:r>
      <w:r w:rsidRPr="007F4FD9">
        <w:rPr>
          <w:rFonts w:cstheme="minorHAnsi"/>
        </w:rPr>
        <w:t xml:space="preserve"> considered international research.</w:t>
      </w:r>
    </w:p>
    <w:p w14:paraId="56C1EF0E" w14:textId="77777777" w:rsidR="00D73103" w:rsidRPr="00115AD8" w:rsidRDefault="00D73103" w:rsidP="007C31DC">
      <w:pPr>
        <w:spacing w:before="1" w:after="0" w:line="240" w:lineRule="exact"/>
        <w:ind w:right="-20"/>
        <w:rPr>
          <w:rFonts w:cstheme="minorHAnsi"/>
        </w:rPr>
      </w:pPr>
    </w:p>
    <w:p w14:paraId="6E818C20" w14:textId="4495F3D8" w:rsidR="00B3209A" w:rsidRPr="00AC0281" w:rsidRDefault="00D73103" w:rsidP="007C31DC">
      <w:pPr>
        <w:spacing w:after="0" w:line="250" w:lineRule="auto"/>
        <w:ind w:right="-20"/>
        <w:rPr>
          <w:rFonts w:cstheme="minorHAnsi"/>
        </w:rPr>
      </w:pPr>
      <w:r w:rsidRPr="007C31DC">
        <w:rPr>
          <w:b/>
          <w:i/>
        </w:rPr>
        <w:t xml:space="preserve">NOTE: </w:t>
      </w:r>
      <w:r w:rsidRPr="007C31DC">
        <w:rPr>
          <w:i/>
        </w:rPr>
        <w:t>This policy applies regardless of the funding source (funded or unfunded) and to research conducted through any mechanism of support including agreements, Memoranda of Understanding (MOU), Cooperative Research and Development Agreements (</w:t>
      </w:r>
      <w:proofErr w:type="spellStart"/>
      <w:r w:rsidRPr="007F4FD9">
        <w:rPr>
          <w:rFonts w:eastAsia="Arial" w:cstheme="minorHAnsi"/>
          <w:i/>
        </w:rPr>
        <w:t>CRADA</w:t>
      </w:r>
      <w:r w:rsidR="00B3209A">
        <w:rPr>
          <w:rFonts w:eastAsia="Arial" w:cstheme="minorHAnsi"/>
          <w:i/>
        </w:rPr>
        <w:t>ss</w:t>
      </w:r>
      <w:proofErr w:type="spellEnd"/>
      <w:r w:rsidR="00AC0281" w:rsidRPr="007C31DC">
        <w:rPr>
          <w:i/>
        </w:rPr>
        <w:t>), grants, or contracts. Also, a</w:t>
      </w:r>
      <w:r w:rsidRPr="007C31DC">
        <w:rPr>
          <w:i/>
        </w:rPr>
        <w:t>ll VA-approved research must be approved by the Research and Development (R&amp;D) Committee</w:t>
      </w:r>
      <w:r w:rsidR="00AC0281" w:rsidRPr="007C31DC">
        <w:rPr>
          <w:i/>
        </w:rPr>
        <w:t xml:space="preserve"> in addition to IRAC and COMIRB review</w:t>
      </w:r>
      <w:r w:rsidRPr="007C31DC">
        <w:rPr>
          <w:i/>
        </w:rPr>
        <w:t>.</w:t>
      </w:r>
    </w:p>
    <w:sectPr w:rsidR="00B3209A" w:rsidRPr="00AC0281" w:rsidSect="000E4469">
      <w:headerReference w:type="even" r:id="rId18"/>
      <w:headerReference w:type="default" r:id="rId19"/>
      <w:footerReference w:type="even" r:id="rId20"/>
      <w:footerReference w:type="default" r:id="rId21"/>
      <w:headerReference w:type="first" r:id="rId22"/>
      <w:footerReference w:type="first" r:id="rId23"/>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E0B2" w14:textId="77777777" w:rsidR="00771190" w:rsidRDefault="00771190" w:rsidP="00B53C78">
      <w:pPr>
        <w:spacing w:after="0" w:line="240" w:lineRule="auto"/>
      </w:pPr>
      <w:r>
        <w:separator/>
      </w:r>
    </w:p>
  </w:endnote>
  <w:endnote w:type="continuationSeparator" w:id="0">
    <w:p w14:paraId="1E783D46" w14:textId="77777777" w:rsidR="00771190" w:rsidRDefault="00771190" w:rsidP="00B5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2FC6" w14:textId="77777777" w:rsidR="00C53823" w:rsidRDefault="00C53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50B9" w14:textId="6D26862A" w:rsidR="00B53C78" w:rsidRPr="00B53C78" w:rsidRDefault="00B53C78" w:rsidP="00B53C78">
    <w:pPr>
      <w:pStyle w:val="Footer"/>
    </w:pPr>
    <w:r w:rsidRPr="00B53C78">
      <w:t xml:space="preserve">COMIRB: </w:t>
    </w:r>
    <w:r>
      <w:t>International Research</w:t>
    </w:r>
    <w:r w:rsidRPr="00B53C78">
      <w:tab/>
    </w:r>
    <w:r w:rsidRPr="00B53C78">
      <w:tab/>
      <w:t xml:space="preserve">Page | </w:t>
    </w:r>
    <w:r w:rsidRPr="00B53C78">
      <w:fldChar w:fldCharType="begin"/>
    </w:r>
    <w:r w:rsidRPr="00B53C78">
      <w:instrText xml:space="preserve"> PAGE   \* MERGEFORMAT </w:instrText>
    </w:r>
    <w:r w:rsidRPr="00B53C78">
      <w:fldChar w:fldCharType="separate"/>
    </w:r>
    <w:r w:rsidRPr="00B53C78">
      <w:t>1</w:t>
    </w:r>
    <w:r w:rsidRPr="00B53C78">
      <w:fldChar w:fldCharType="end"/>
    </w:r>
  </w:p>
  <w:p w14:paraId="2177BDF3" w14:textId="1CE4C093" w:rsidR="00B53C78" w:rsidRPr="00B53C78" w:rsidRDefault="00B53C78" w:rsidP="00B53C78">
    <w:pPr>
      <w:pStyle w:val="Footer"/>
    </w:pPr>
    <w:r w:rsidRPr="00B53C78">
      <w:t>CG_</w:t>
    </w:r>
    <w:r>
      <w:t>99</w:t>
    </w:r>
    <w:r w:rsidRPr="00B53C78">
      <w:t xml:space="preserve">, </w:t>
    </w:r>
    <w:r>
      <w:t xml:space="preserve">September </w:t>
    </w:r>
    <w:r w:rsidR="00C53823">
      <w:t>10</w:t>
    </w:r>
    <w:r>
      <w:t>, 202</w:t>
    </w:r>
    <w:r w:rsidR="00927036">
      <w:t>1</w:t>
    </w:r>
  </w:p>
  <w:p w14:paraId="2B55AD61" w14:textId="77777777" w:rsidR="00B53C78" w:rsidRDefault="00B53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18F6" w14:textId="77777777" w:rsidR="00C53823" w:rsidRDefault="00C53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E753" w14:textId="77777777" w:rsidR="00771190" w:rsidRDefault="00771190" w:rsidP="00B53C78">
      <w:pPr>
        <w:spacing w:after="0" w:line="240" w:lineRule="auto"/>
      </w:pPr>
      <w:r>
        <w:separator/>
      </w:r>
    </w:p>
  </w:footnote>
  <w:footnote w:type="continuationSeparator" w:id="0">
    <w:p w14:paraId="1246CC5D" w14:textId="77777777" w:rsidR="00771190" w:rsidRDefault="00771190" w:rsidP="00B53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07F0" w14:textId="77777777" w:rsidR="00C53823" w:rsidRDefault="00C53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FE85" w14:textId="77777777" w:rsidR="00C53823" w:rsidRDefault="00C53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9361" w14:textId="77777777" w:rsidR="00C53823" w:rsidRDefault="00C53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6C2F"/>
    <w:multiLevelType w:val="hybridMultilevel"/>
    <w:tmpl w:val="15D4D338"/>
    <w:lvl w:ilvl="0" w:tplc="2214BFDE">
      <w:start w:val="1"/>
      <w:numFmt w:val="bullet"/>
      <w:lvlText w:val="•"/>
      <w:lvlJc w:val="left"/>
      <w:pPr>
        <w:tabs>
          <w:tab w:val="num" w:pos="720"/>
        </w:tabs>
        <w:ind w:left="720" w:hanging="360"/>
      </w:pPr>
      <w:rPr>
        <w:rFonts w:ascii="Arial" w:hAnsi="Arial" w:hint="default"/>
      </w:rPr>
    </w:lvl>
    <w:lvl w:ilvl="1" w:tplc="5BC4E19A">
      <w:numFmt w:val="bullet"/>
      <w:lvlText w:val="•"/>
      <w:lvlJc w:val="left"/>
      <w:pPr>
        <w:tabs>
          <w:tab w:val="num" w:pos="1440"/>
        </w:tabs>
        <w:ind w:left="1440" w:hanging="360"/>
      </w:pPr>
      <w:rPr>
        <w:rFonts w:ascii="Arial" w:hAnsi="Arial" w:hint="default"/>
      </w:rPr>
    </w:lvl>
    <w:lvl w:ilvl="2" w:tplc="7E4C87AC" w:tentative="1">
      <w:start w:val="1"/>
      <w:numFmt w:val="bullet"/>
      <w:lvlText w:val="•"/>
      <w:lvlJc w:val="left"/>
      <w:pPr>
        <w:tabs>
          <w:tab w:val="num" w:pos="2160"/>
        </w:tabs>
        <w:ind w:left="2160" w:hanging="360"/>
      </w:pPr>
      <w:rPr>
        <w:rFonts w:ascii="Arial" w:hAnsi="Arial" w:hint="default"/>
      </w:rPr>
    </w:lvl>
    <w:lvl w:ilvl="3" w:tplc="7A603CA4" w:tentative="1">
      <w:start w:val="1"/>
      <w:numFmt w:val="bullet"/>
      <w:lvlText w:val="•"/>
      <w:lvlJc w:val="left"/>
      <w:pPr>
        <w:tabs>
          <w:tab w:val="num" w:pos="2880"/>
        </w:tabs>
        <w:ind w:left="2880" w:hanging="360"/>
      </w:pPr>
      <w:rPr>
        <w:rFonts w:ascii="Arial" w:hAnsi="Arial" w:hint="default"/>
      </w:rPr>
    </w:lvl>
    <w:lvl w:ilvl="4" w:tplc="D700C91A" w:tentative="1">
      <w:start w:val="1"/>
      <w:numFmt w:val="bullet"/>
      <w:lvlText w:val="•"/>
      <w:lvlJc w:val="left"/>
      <w:pPr>
        <w:tabs>
          <w:tab w:val="num" w:pos="3600"/>
        </w:tabs>
        <w:ind w:left="3600" w:hanging="360"/>
      </w:pPr>
      <w:rPr>
        <w:rFonts w:ascii="Arial" w:hAnsi="Arial" w:hint="default"/>
      </w:rPr>
    </w:lvl>
    <w:lvl w:ilvl="5" w:tplc="A6244E6E" w:tentative="1">
      <w:start w:val="1"/>
      <w:numFmt w:val="bullet"/>
      <w:lvlText w:val="•"/>
      <w:lvlJc w:val="left"/>
      <w:pPr>
        <w:tabs>
          <w:tab w:val="num" w:pos="4320"/>
        </w:tabs>
        <w:ind w:left="4320" w:hanging="360"/>
      </w:pPr>
      <w:rPr>
        <w:rFonts w:ascii="Arial" w:hAnsi="Arial" w:hint="default"/>
      </w:rPr>
    </w:lvl>
    <w:lvl w:ilvl="6" w:tplc="204083F0" w:tentative="1">
      <w:start w:val="1"/>
      <w:numFmt w:val="bullet"/>
      <w:lvlText w:val="•"/>
      <w:lvlJc w:val="left"/>
      <w:pPr>
        <w:tabs>
          <w:tab w:val="num" w:pos="5040"/>
        </w:tabs>
        <w:ind w:left="5040" w:hanging="360"/>
      </w:pPr>
      <w:rPr>
        <w:rFonts w:ascii="Arial" w:hAnsi="Arial" w:hint="default"/>
      </w:rPr>
    </w:lvl>
    <w:lvl w:ilvl="7" w:tplc="F7EE0C9E" w:tentative="1">
      <w:start w:val="1"/>
      <w:numFmt w:val="bullet"/>
      <w:lvlText w:val="•"/>
      <w:lvlJc w:val="left"/>
      <w:pPr>
        <w:tabs>
          <w:tab w:val="num" w:pos="5760"/>
        </w:tabs>
        <w:ind w:left="5760" w:hanging="360"/>
      </w:pPr>
      <w:rPr>
        <w:rFonts w:ascii="Arial" w:hAnsi="Arial" w:hint="default"/>
      </w:rPr>
    </w:lvl>
    <w:lvl w:ilvl="8" w:tplc="51F47C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5C63B0"/>
    <w:multiLevelType w:val="hybridMultilevel"/>
    <w:tmpl w:val="4AE820E0"/>
    <w:lvl w:ilvl="0" w:tplc="8AAA467C">
      <w:start w:val="1"/>
      <w:numFmt w:val="bullet"/>
      <w:lvlText w:val="•"/>
      <w:lvlJc w:val="left"/>
      <w:pPr>
        <w:tabs>
          <w:tab w:val="num" w:pos="720"/>
        </w:tabs>
        <w:ind w:left="720" w:hanging="360"/>
      </w:pPr>
      <w:rPr>
        <w:rFonts w:ascii="Arial" w:hAnsi="Arial" w:hint="default"/>
      </w:rPr>
    </w:lvl>
    <w:lvl w:ilvl="1" w:tplc="979CC49A">
      <w:numFmt w:val="bullet"/>
      <w:lvlText w:val="•"/>
      <w:lvlJc w:val="left"/>
      <w:pPr>
        <w:tabs>
          <w:tab w:val="num" w:pos="1440"/>
        </w:tabs>
        <w:ind w:left="1440" w:hanging="360"/>
      </w:pPr>
      <w:rPr>
        <w:rFonts w:ascii="Arial" w:hAnsi="Arial" w:hint="default"/>
      </w:rPr>
    </w:lvl>
    <w:lvl w:ilvl="2" w:tplc="F9F27AE4" w:tentative="1">
      <w:start w:val="1"/>
      <w:numFmt w:val="bullet"/>
      <w:lvlText w:val="•"/>
      <w:lvlJc w:val="left"/>
      <w:pPr>
        <w:tabs>
          <w:tab w:val="num" w:pos="2160"/>
        </w:tabs>
        <w:ind w:left="2160" w:hanging="360"/>
      </w:pPr>
      <w:rPr>
        <w:rFonts w:ascii="Arial" w:hAnsi="Arial" w:hint="default"/>
      </w:rPr>
    </w:lvl>
    <w:lvl w:ilvl="3" w:tplc="DBB41C86" w:tentative="1">
      <w:start w:val="1"/>
      <w:numFmt w:val="bullet"/>
      <w:lvlText w:val="•"/>
      <w:lvlJc w:val="left"/>
      <w:pPr>
        <w:tabs>
          <w:tab w:val="num" w:pos="2880"/>
        </w:tabs>
        <w:ind w:left="2880" w:hanging="360"/>
      </w:pPr>
      <w:rPr>
        <w:rFonts w:ascii="Arial" w:hAnsi="Arial" w:hint="default"/>
      </w:rPr>
    </w:lvl>
    <w:lvl w:ilvl="4" w:tplc="B276E0B8" w:tentative="1">
      <w:start w:val="1"/>
      <w:numFmt w:val="bullet"/>
      <w:lvlText w:val="•"/>
      <w:lvlJc w:val="left"/>
      <w:pPr>
        <w:tabs>
          <w:tab w:val="num" w:pos="3600"/>
        </w:tabs>
        <w:ind w:left="3600" w:hanging="360"/>
      </w:pPr>
      <w:rPr>
        <w:rFonts w:ascii="Arial" w:hAnsi="Arial" w:hint="default"/>
      </w:rPr>
    </w:lvl>
    <w:lvl w:ilvl="5" w:tplc="6DA6F2B4" w:tentative="1">
      <w:start w:val="1"/>
      <w:numFmt w:val="bullet"/>
      <w:lvlText w:val="•"/>
      <w:lvlJc w:val="left"/>
      <w:pPr>
        <w:tabs>
          <w:tab w:val="num" w:pos="4320"/>
        </w:tabs>
        <w:ind w:left="4320" w:hanging="360"/>
      </w:pPr>
      <w:rPr>
        <w:rFonts w:ascii="Arial" w:hAnsi="Arial" w:hint="default"/>
      </w:rPr>
    </w:lvl>
    <w:lvl w:ilvl="6" w:tplc="88743192" w:tentative="1">
      <w:start w:val="1"/>
      <w:numFmt w:val="bullet"/>
      <w:lvlText w:val="•"/>
      <w:lvlJc w:val="left"/>
      <w:pPr>
        <w:tabs>
          <w:tab w:val="num" w:pos="5040"/>
        </w:tabs>
        <w:ind w:left="5040" w:hanging="360"/>
      </w:pPr>
      <w:rPr>
        <w:rFonts w:ascii="Arial" w:hAnsi="Arial" w:hint="default"/>
      </w:rPr>
    </w:lvl>
    <w:lvl w:ilvl="7" w:tplc="35F8E172" w:tentative="1">
      <w:start w:val="1"/>
      <w:numFmt w:val="bullet"/>
      <w:lvlText w:val="•"/>
      <w:lvlJc w:val="left"/>
      <w:pPr>
        <w:tabs>
          <w:tab w:val="num" w:pos="5760"/>
        </w:tabs>
        <w:ind w:left="5760" w:hanging="360"/>
      </w:pPr>
      <w:rPr>
        <w:rFonts w:ascii="Arial" w:hAnsi="Arial" w:hint="default"/>
      </w:rPr>
    </w:lvl>
    <w:lvl w:ilvl="8" w:tplc="8C46CD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1968FF"/>
    <w:multiLevelType w:val="hybridMultilevel"/>
    <w:tmpl w:val="7BF610FE"/>
    <w:lvl w:ilvl="0" w:tplc="463CFC96">
      <w:start w:val="1"/>
      <w:numFmt w:val="bullet"/>
      <w:lvlText w:val="•"/>
      <w:lvlJc w:val="left"/>
      <w:pPr>
        <w:tabs>
          <w:tab w:val="num" w:pos="720"/>
        </w:tabs>
        <w:ind w:left="720" w:hanging="360"/>
      </w:pPr>
      <w:rPr>
        <w:rFonts w:ascii="Arial" w:hAnsi="Arial" w:hint="default"/>
      </w:rPr>
    </w:lvl>
    <w:lvl w:ilvl="1" w:tplc="CC766C34">
      <w:numFmt w:val="bullet"/>
      <w:lvlText w:val="•"/>
      <w:lvlJc w:val="left"/>
      <w:pPr>
        <w:tabs>
          <w:tab w:val="num" w:pos="1440"/>
        </w:tabs>
        <w:ind w:left="1440" w:hanging="360"/>
      </w:pPr>
      <w:rPr>
        <w:rFonts w:ascii="Arial" w:hAnsi="Arial" w:hint="default"/>
      </w:rPr>
    </w:lvl>
    <w:lvl w:ilvl="2" w:tplc="632031C0" w:tentative="1">
      <w:start w:val="1"/>
      <w:numFmt w:val="bullet"/>
      <w:lvlText w:val="•"/>
      <w:lvlJc w:val="left"/>
      <w:pPr>
        <w:tabs>
          <w:tab w:val="num" w:pos="2160"/>
        </w:tabs>
        <w:ind w:left="2160" w:hanging="360"/>
      </w:pPr>
      <w:rPr>
        <w:rFonts w:ascii="Arial" w:hAnsi="Arial" w:hint="default"/>
      </w:rPr>
    </w:lvl>
    <w:lvl w:ilvl="3" w:tplc="E5604AF6" w:tentative="1">
      <w:start w:val="1"/>
      <w:numFmt w:val="bullet"/>
      <w:lvlText w:val="•"/>
      <w:lvlJc w:val="left"/>
      <w:pPr>
        <w:tabs>
          <w:tab w:val="num" w:pos="2880"/>
        </w:tabs>
        <w:ind w:left="2880" w:hanging="360"/>
      </w:pPr>
      <w:rPr>
        <w:rFonts w:ascii="Arial" w:hAnsi="Arial" w:hint="default"/>
      </w:rPr>
    </w:lvl>
    <w:lvl w:ilvl="4" w:tplc="1A1848FE" w:tentative="1">
      <w:start w:val="1"/>
      <w:numFmt w:val="bullet"/>
      <w:lvlText w:val="•"/>
      <w:lvlJc w:val="left"/>
      <w:pPr>
        <w:tabs>
          <w:tab w:val="num" w:pos="3600"/>
        </w:tabs>
        <w:ind w:left="3600" w:hanging="360"/>
      </w:pPr>
      <w:rPr>
        <w:rFonts w:ascii="Arial" w:hAnsi="Arial" w:hint="default"/>
      </w:rPr>
    </w:lvl>
    <w:lvl w:ilvl="5" w:tplc="B83EB388" w:tentative="1">
      <w:start w:val="1"/>
      <w:numFmt w:val="bullet"/>
      <w:lvlText w:val="•"/>
      <w:lvlJc w:val="left"/>
      <w:pPr>
        <w:tabs>
          <w:tab w:val="num" w:pos="4320"/>
        </w:tabs>
        <w:ind w:left="4320" w:hanging="360"/>
      </w:pPr>
      <w:rPr>
        <w:rFonts w:ascii="Arial" w:hAnsi="Arial" w:hint="default"/>
      </w:rPr>
    </w:lvl>
    <w:lvl w:ilvl="6" w:tplc="EDAED752" w:tentative="1">
      <w:start w:val="1"/>
      <w:numFmt w:val="bullet"/>
      <w:lvlText w:val="•"/>
      <w:lvlJc w:val="left"/>
      <w:pPr>
        <w:tabs>
          <w:tab w:val="num" w:pos="5040"/>
        </w:tabs>
        <w:ind w:left="5040" w:hanging="360"/>
      </w:pPr>
      <w:rPr>
        <w:rFonts w:ascii="Arial" w:hAnsi="Arial" w:hint="default"/>
      </w:rPr>
    </w:lvl>
    <w:lvl w:ilvl="7" w:tplc="FA5406EC" w:tentative="1">
      <w:start w:val="1"/>
      <w:numFmt w:val="bullet"/>
      <w:lvlText w:val="•"/>
      <w:lvlJc w:val="left"/>
      <w:pPr>
        <w:tabs>
          <w:tab w:val="num" w:pos="5760"/>
        </w:tabs>
        <w:ind w:left="5760" w:hanging="360"/>
      </w:pPr>
      <w:rPr>
        <w:rFonts w:ascii="Arial" w:hAnsi="Arial" w:hint="default"/>
      </w:rPr>
    </w:lvl>
    <w:lvl w:ilvl="8" w:tplc="E8CC81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096AB8"/>
    <w:multiLevelType w:val="hybridMultilevel"/>
    <w:tmpl w:val="BEC04E3C"/>
    <w:lvl w:ilvl="0" w:tplc="AA3A18BE">
      <w:start w:val="1"/>
      <w:numFmt w:val="bullet"/>
      <w:lvlText w:val="•"/>
      <w:lvlJc w:val="left"/>
      <w:pPr>
        <w:tabs>
          <w:tab w:val="num" w:pos="720"/>
        </w:tabs>
        <w:ind w:left="720" w:hanging="360"/>
      </w:pPr>
      <w:rPr>
        <w:rFonts w:ascii="Arial" w:hAnsi="Arial" w:hint="default"/>
      </w:rPr>
    </w:lvl>
    <w:lvl w:ilvl="1" w:tplc="9BA0C1CA">
      <w:numFmt w:val="bullet"/>
      <w:lvlText w:val="•"/>
      <w:lvlJc w:val="left"/>
      <w:pPr>
        <w:tabs>
          <w:tab w:val="num" w:pos="1440"/>
        </w:tabs>
        <w:ind w:left="1440" w:hanging="360"/>
      </w:pPr>
      <w:rPr>
        <w:rFonts w:ascii="Arial" w:hAnsi="Arial" w:hint="default"/>
      </w:rPr>
    </w:lvl>
    <w:lvl w:ilvl="2" w:tplc="DF9632CE" w:tentative="1">
      <w:start w:val="1"/>
      <w:numFmt w:val="bullet"/>
      <w:lvlText w:val="•"/>
      <w:lvlJc w:val="left"/>
      <w:pPr>
        <w:tabs>
          <w:tab w:val="num" w:pos="2160"/>
        </w:tabs>
        <w:ind w:left="2160" w:hanging="360"/>
      </w:pPr>
      <w:rPr>
        <w:rFonts w:ascii="Arial" w:hAnsi="Arial" w:hint="default"/>
      </w:rPr>
    </w:lvl>
    <w:lvl w:ilvl="3" w:tplc="760056A4" w:tentative="1">
      <w:start w:val="1"/>
      <w:numFmt w:val="bullet"/>
      <w:lvlText w:val="•"/>
      <w:lvlJc w:val="left"/>
      <w:pPr>
        <w:tabs>
          <w:tab w:val="num" w:pos="2880"/>
        </w:tabs>
        <w:ind w:left="2880" w:hanging="360"/>
      </w:pPr>
      <w:rPr>
        <w:rFonts w:ascii="Arial" w:hAnsi="Arial" w:hint="default"/>
      </w:rPr>
    </w:lvl>
    <w:lvl w:ilvl="4" w:tplc="6B7CDF1E" w:tentative="1">
      <w:start w:val="1"/>
      <w:numFmt w:val="bullet"/>
      <w:lvlText w:val="•"/>
      <w:lvlJc w:val="left"/>
      <w:pPr>
        <w:tabs>
          <w:tab w:val="num" w:pos="3600"/>
        </w:tabs>
        <w:ind w:left="3600" w:hanging="360"/>
      </w:pPr>
      <w:rPr>
        <w:rFonts w:ascii="Arial" w:hAnsi="Arial" w:hint="default"/>
      </w:rPr>
    </w:lvl>
    <w:lvl w:ilvl="5" w:tplc="314A678C" w:tentative="1">
      <w:start w:val="1"/>
      <w:numFmt w:val="bullet"/>
      <w:lvlText w:val="•"/>
      <w:lvlJc w:val="left"/>
      <w:pPr>
        <w:tabs>
          <w:tab w:val="num" w:pos="4320"/>
        </w:tabs>
        <w:ind w:left="4320" w:hanging="360"/>
      </w:pPr>
      <w:rPr>
        <w:rFonts w:ascii="Arial" w:hAnsi="Arial" w:hint="default"/>
      </w:rPr>
    </w:lvl>
    <w:lvl w:ilvl="6" w:tplc="FEFE0F10" w:tentative="1">
      <w:start w:val="1"/>
      <w:numFmt w:val="bullet"/>
      <w:lvlText w:val="•"/>
      <w:lvlJc w:val="left"/>
      <w:pPr>
        <w:tabs>
          <w:tab w:val="num" w:pos="5040"/>
        </w:tabs>
        <w:ind w:left="5040" w:hanging="360"/>
      </w:pPr>
      <w:rPr>
        <w:rFonts w:ascii="Arial" w:hAnsi="Arial" w:hint="default"/>
      </w:rPr>
    </w:lvl>
    <w:lvl w:ilvl="7" w:tplc="3B826628" w:tentative="1">
      <w:start w:val="1"/>
      <w:numFmt w:val="bullet"/>
      <w:lvlText w:val="•"/>
      <w:lvlJc w:val="left"/>
      <w:pPr>
        <w:tabs>
          <w:tab w:val="num" w:pos="5760"/>
        </w:tabs>
        <w:ind w:left="5760" w:hanging="360"/>
      </w:pPr>
      <w:rPr>
        <w:rFonts w:ascii="Arial" w:hAnsi="Arial" w:hint="default"/>
      </w:rPr>
    </w:lvl>
    <w:lvl w:ilvl="8" w:tplc="A72E27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E637B0"/>
    <w:multiLevelType w:val="hybridMultilevel"/>
    <w:tmpl w:val="1430E924"/>
    <w:lvl w:ilvl="0" w:tplc="BF12C16A">
      <w:start w:val="1"/>
      <w:numFmt w:val="bullet"/>
      <w:lvlText w:val="•"/>
      <w:lvlJc w:val="left"/>
      <w:pPr>
        <w:tabs>
          <w:tab w:val="num" w:pos="720"/>
        </w:tabs>
        <w:ind w:left="720" w:hanging="360"/>
      </w:pPr>
      <w:rPr>
        <w:rFonts w:ascii="Arial" w:hAnsi="Arial" w:hint="default"/>
      </w:rPr>
    </w:lvl>
    <w:lvl w:ilvl="1" w:tplc="9364EFA2">
      <w:numFmt w:val="bullet"/>
      <w:lvlText w:val="•"/>
      <w:lvlJc w:val="left"/>
      <w:pPr>
        <w:tabs>
          <w:tab w:val="num" w:pos="1440"/>
        </w:tabs>
        <w:ind w:left="1440" w:hanging="360"/>
      </w:pPr>
      <w:rPr>
        <w:rFonts w:ascii="Arial" w:hAnsi="Arial" w:hint="default"/>
      </w:rPr>
    </w:lvl>
    <w:lvl w:ilvl="2" w:tplc="BF408E76" w:tentative="1">
      <w:start w:val="1"/>
      <w:numFmt w:val="bullet"/>
      <w:lvlText w:val="•"/>
      <w:lvlJc w:val="left"/>
      <w:pPr>
        <w:tabs>
          <w:tab w:val="num" w:pos="2160"/>
        </w:tabs>
        <w:ind w:left="2160" w:hanging="360"/>
      </w:pPr>
      <w:rPr>
        <w:rFonts w:ascii="Arial" w:hAnsi="Arial" w:hint="default"/>
      </w:rPr>
    </w:lvl>
    <w:lvl w:ilvl="3" w:tplc="E1E0F458" w:tentative="1">
      <w:start w:val="1"/>
      <w:numFmt w:val="bullet"/>
      <w:lvlText w:val="•"/>
      <w:lvlJc w:val="left"/>
      <w:pPr>
        <w:tabs>
          <w:tab w:val="num" w:pos="2880"/>
        </w:tabs>
        <w:ind w:left="2880" w:hanging="360"/>
      </w:pPr>
      <w:rPr>
        <w:rFonts w:ascii="Arial" w:hAnsi="Arial" w:hint="default"/>
      </w:rPr>
    </w:lvl>
    <w:lvl w:ilvl="4" w:tplc="7650564C" w:tentative="1">
      <w:start w:val="1"/>
      <w:numFmt w:val="bullet"/>
      <w:lvlText w:val="•"/>
      <w:lvlJc w:val="left"/>
      <w:pPr>
        <w:tabs>
          <w:tab w:val="num" w:pos="3600"/>
        </w:tabs>
        <w:ind w:left="3600" w:hanging="360"/>
      </w:pPr>
      <w:rPr>
        <w:rFonts w:ascii="Arial" w:hAnsi="Arial" w:hint="default"/>
      </w:rPr>
    </w:lvl>
    <w:lvl w:ilvl="5" w:tplc="2F622384" w:tentative="1">
      <w:start w:val="1"/>
      <w:numFmt w:val="bullet"/>
      <w:lvlText w:val="•"/>
      <w:lvlJc w:val="left"/>
      <w:pPr>
        <w:tabs>
          <w:tab w:val="num" w:pos="4320"/>
        </w:tabs>
        <w:ind w:left="4320" w:hanging="360"/>
      </w:pPr>
      <w:rPr>
        <w:rFonts w:ascii="Arial" w:hAnsi="Arial" w:hint="default"/>
      </w:rPr>
    </w:lvl>
    <w:lvl w:ilvl="6" w:tplc="D4240F1E" w:tentative="1">
      <w:start w:val="1"/>
      <w:numFmt w:val="bullet"/>
      <w:lvlText w:val="•"/>
      <w:lvlJc w:val="left"/>
      <w:pPr>
        <w:tabs>
          <w:tab w:val="num" w:pos="5040"/>
        </w:tabs>
        <w:ind w:left="5040" w:hanging="360"/>
      </w:pPr>
      <w:rPr>
        <w:rFonts w:ascii="Arial" w:hAnsi="Arial" w:hint="default"/>
      </w:rPr>
    </w:lvl>
    <w:lvl w:ilvl="7" w:tplc="7384F352" w:tentative="1">
      <w:start w:val="1"/>
      <w:numFmt w:val="bullet"/>
      <w:lvlText w:val="•"/>
      <w:lvlJc w:val="left"/>
      <w:pPr>
        <w:tabs>
          <w:tab w:val="num" w:pos="5760"/>
        </w:tabs>
        <w:ind w:left="5760" w:hanging="360"/>
      </w:pPr>
      <w:rPr>
        <w:rFonts w:ascii="Arial" w:hAnsi="Arial" w:hint="default"/>
      </w:rPr>
    </w:lvl>
    <w:lvl w:ilvl="8" w:tplc="382650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B24F63"/>
    <w:multiLevelType w:val="hybridMultilevel"/>
    <w:tmpl w:val="93522D7E"/>
    <w:lvl w:ilvl="0" w:tplc="A91622D4">
      <w:start w:val="1"/>
      <w:numFmt w:val="bullet"/>
      <w:lvlText w:val="•"/>
      <w:lvlJc w:val="left"/>
      <w:pPr>
        <w:tabs>
          <w:tab w:val="num" w:pos="720"/>
        </w:tabs>
        <w:ind w:left="720" w:hanging="360"/>
      </w:pPr>
      <w:rPr>
        <w:rFonts w:ascii="Arial" w:hAnsi="Arial" w:hint="default"/>
      </w:rPr>
    </w:lvl>
    <w:lvl w:ilvl="1" w:tplc="83BE7472">
      <w:numFmt w:val="bullet"/>
      <w:lvlText w:val="•"/>
      <w:lvlJc w:val="left"/>
      <w:pPr>
        <w:tabs>
          <w:tab w:val="num" w:pos="1440"/>
        </w:tabs>
        <w:ind w:left="1440" w:hanging="360"/>
      </w:pPr>
      <w:rPr>
        <w:rFonts w:ascii="Arial" w:hAnsi="Arial" w:hint="default"/>
      </w:rPr>
    </w:lvl>
    <w:lvl w:ilvl="2" w:tplc="927AE0A6" w:tentative="1">
      <w:start w:val="1"/>
      <w:numFmt w:val="bullet"/>
      <w:lvlText w:val="•"/>
      <w:lvlJc w:val="left"/>
      <w:pPr>
        <w:tabs>
          <w:tab w:val="num" w:pos="2160"/>
        </w:tabs>
        <w:ind w:left="2160" w:hanging="360"/>
      </w:pPr>
      <w:rPr>
        <w:rFonts w:ascii="Arial" w:hAnsi="Arial" w:hint="default"/>
      </w:rPr>
    </w:lvl>
    <w:lvl w:ilvl="3" w:tplc="D0782EC2" w:tentative="1">
      <w:start w:val="1"/>
      <w:numFmt w:val="bullet"/>
      <w:lvlText w:val="•"/>
      <w:lvlJc w:val="left"/>
      <w:pPr>
        <w:tabs>
          <w:tab w:val="num" w:pos="2880"/>
        </w:tabs>
        <w:ind w:left="2880" w:hanging="360"/>
      </w:pPr>
      <w:rPr>
        <w:rFonts w:ascii="Arial" w:hAnsi="Arial" w:hint="default"/>
      </w:rPr>
    </w:lvl>
    <w:lvl w:ilvl="4" w:tplc="4C223524" w:tentative="1">
      <w:start w:val="1"/>
      <w:numFmt w:val="bullet"/>
      <w:lvlText w:val="•"/>
      <w:lvlJc w:val="left"/>
      <w:pPr>
        <w:tabs>
          <w:tab w:val="num" w:pos="3600"/>
        </w:tabs>
        <w:ind w:left="3600" w:hanging="360"/>
      </w:pPr>
      <w:rPr>
        <w:rFonts w:ascii="Arial" w:hAnsi="Arial" w:hint="default"/>
      </w:rPr>
    </w:lvl>
    <w:lvl w:ilvl="5" w:tplc="0A6078FE" w:tentative="1">
      <w:start w:val="1"/>
      <w:numFmt w:val="bullet"/>
      <w:lvlText w:val="•"/>
      <w:lvlJc w:val="left"/>
      <w:pPr>
        <w:tabs>
          <w:tab w:val="num" w:pos="4320"/>
        </w:tabs>
        <w:ind w:left="4320" w:hanging="360"/>
      </w:pPr>
      <w:rPr>
        <w:rFonts w:ascii="Arial" w:hAnsi="Arial" w:hint="default"/>
      </w:rPr>
    </w:lvl>
    <w:lvl w:ilvl="6" w:tplc="1A662F6E" w:tentative="1">
      <w:start w:val="1"/>
      <w:numFmt w:val="bullet"/>
      <w:lvlText w:val="•"/>
      <w:lvlJc w:val="left"/>
      <w:pPr>
        <w:tabs>
          <w:tab w:val="num" w:pos="5040"/>
        </w:tabs>
        <w:ind w:left="5040" w:hanging="360"/>
      </w:pPr>
      <w:rPr>
        <w:rFonts w:ascii="Arial" w:hAnsi="Arial" w:hint="default"/>
      </w:rPr>
    </w:lvl>
    <w:lvl w:ilvl="7" w:tplc="EC90D828" w:tentative="1">
      <w:start w:val="1"/>
      <w:numFmt w:val="bullet"/>
      <w:lvlText w:val="•"/>
      <w:lvlJc w:val="left"/>
      <w:pPr>
        <w:tabs>
          <w:tab w:val="num" w:pos="5760"/>
        </w:tabs>
        <w:ind w:left="5760" w:hanging="360"/>
      </w:pPr>
      <w:rPr>
        <w:rFonts w:ascii="Arial" w:hAnsi="Arial" w:hint="default"/>
      </w:rPr>
    </w:lvl>
    <w:lvl w:ilvl="8" w:tplc="FA9E3D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7A1339"/>
    <w:multiLevelType w:val="hybridMultilevel"/>
    <w:tmpl w:val="5916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262E2"/>
    <w:multiLevelType w:val="hybridMultilevel"/>
    <w:tmpl w:val="6792B44E"/>
    <w:lvl w:ilvl="0" w:tplc="C896C4B0">
      <w:start w:val="1"/>
      <w:numFmt w:val="bullet"/>
      <w:lvlText w:val="•"/>
      <w:lvlJc w:val="left"/>
      <w:pPr>
        <w:tabs>
          <w:tab w:val="num" w:pos="720"/>
        </w:tabs>
        <w:ind w:left="720" w:hanging="360"/>
      </w:pPr>
      <w:rPr>
        <w:rFonts w:ascii="Arial" w:hAnsi="Arial" w:hint="default"/>
      </w:rPr>
    </w:lvl>
    <w:lvl w:ilvl="1" w:tplc="363269F0">
      <w:numFmt w:val="bullet"/>
      <w:lvlText w:val="•"/>
      <w:lvlJc w:val="left"/>
      <w:pPr>
        <w:tabs>
          <w:tab w:val="num" w:pos="1440"/>
        </w:tabs>
        <w:ind w:left="1440" w:hanging="360"/>
      </w:pPr>
      <w:rPr>
        <w:rFonts w:ascii="Arial" w:hAnsi="Arial" w:hint="default"/>
      </w:rPr>
    </w:lvl>
    <w:lvl w:ilvl="2" w:tplc="A1023F36" w:tentative="1">
      <w:start w:val="1"/>
      <w:numFmt w:val="bullet"/>
      <w:lvlText w:val="•"/>
      <w:lvlJc w:val="left"/>
      <w:pPr>
        <w:tabs>
          <w:tab w:val="num" w:pos="2160"/>
        </w:tabs>
        <w:ind w:left="2160" w:hanging="360"/>
      </w:pPr>
      <w:rPr>
        <w:rFonts w:ascii="Arial" w:hAnsi="Arial" w:hint="default"/>
      </w:rPr>
    </w:lvl>
    <w:lvl w:ilvl="3" w:tplc="51F44FC2" w:tentative="1">
      <w:start w:val="1"/>
      <w:numFmt w:val="bullet"/>
      <w:lvlText w:val="•"/>
      <w:lvlJc w:val="left"/>
      <w:pPr>
        <w:tabs>
          <w:tab w:val="num" w:pos="2880"/>
        </w:tabs>
        <w:ind w:left="2880" w:hanging="360"/>
      </w:pPr>
      <w:rPr>
        <w:rFonts w:ascii="Arial" w:hAnsi="Arial" w:hint="default"/>
      </w:rPr>
    </w:lvl>
    <w:lvl w:ilvl="4" w:tplc="3314180C" w:tentative="1">
      <w:start w:val="1"/>
      <w:numFmt w:val="bullet"/>
      <w:lvlText w:val="•"/>
      <w:lvlJc w:val="left"/>
      <w:pPr>
        <w:tabs>
          <w:tab w:val="num" w:pos="3600"/>
        </w:tabs>
        <w:ind w:left="3600" w:hanging="360"/>
      </w:pPr>
      <w:rPr>
        <w:rFonts w:ascii="Arial" w:hAnsi="Arial" w:hint="default"/>
      </w:rPr>
    </w:lvl>
    <w:lvl w:ilvl="5" w:tplc="03B465F4" w:tentative="1">
      <w:start w:val="1"/>
      <w:numFmt w:val="bullet"/>
      <w:lvlText w:val="•"/>
      <w:lvlJc w:val="left"/>
      <w:pPr>
        <w:tabs>
          <w:tab w:val="num" w:pos="4320"/>
        </w:tabs>
        <w:ind w:left="4320" w:hanging="360"/>
      </w:pPr>
      <w:rPr>
        <w:rFonts w:ascii="Arial" w:hAnsi="Arial" w:hint="default"/>
      </w:rPr>
    </w:lvl>
    <w:lvl w:ilvl="6" w:tplc="DD4EA21E" w:tentative="1">
      <w:start w:val="1"/>
      <w:numFmt w:val="bullet"/>
      <w:lvlText w:val="•"/>
      <w:lvlJc w:val="left"/>
      <w:pPr>
        <w:tabs>
          <w:tab w:val="num" w:pos="5040"/>
        </w:tabs>
        <w:ind w:left="5040" w:hanging="360"/>
      </w:pPr>
      <w:rPr>
        <w:rFonts w:ascii="Arial" w:hAnsi="Arial" w:hint="default"/>
      </w:rPr>
    </w:lvl>
    <w:lvl w:ilvl="7" w:tplc="0696EB18" w:tentative="1">
      <w:start w:val="1"/>
      <w:numFmt w:val="bullet"/>
      <w:lvlText w:val="•"/>
      <w:lvlJc w:val="left"/>
      <w:pPr>
        <w:tabs>
          <w:tab w:val="num" w:pos="5760"/>
        </w:tabs>
        <w:ind w:left="5760" w:hanging="360"/>
      </w:pPr>
      <w:rPr>
        <w:rFonts w:ascii="Arial" w:hAnsi="Arial" w:hint="default"/>
      </w:rPr>
    </w:lvl>
    <w:lvl w:ilvl="8" w:tplc="A28673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771F0C"/>
    <w:multiLevelType w:val="hybridMultilevel"/>
    <w:tmpl w:val="80D28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A6C2F"/>
    <w:multiLevelType w:val="hybridMultilevel"/>
    <w:tmpl w:val="4DD095D8"/>
    <w:lvl w:ilvl="0" w:tplc="254AF28A">
      <w:start w:val="1"/>
      <w:numFmt w:val="bullet"/>
      <w:lvlText w:val="•"/>
      <w:lvlJc w:val="left"/>
      <w:pPr>
        <w:tabs>
          <w:tab w:val="num" w:pos="720"/>
        </w:tabs>
        <w:ind w:left="720" w:hanging="360"/>
      </w:pPr>
      <w:rPr>
        <w:rFonts w:ascii="Arial" w:hAnsi="Arial" w:hint="default"/>
      </w:rPr>
    </w:lvl>
    <w:lvl w:ilvl="1" w:tplc="33B2818A">
      <w:numFmt w:val="bullet"/>
      <w:lvlText w:val="•"/>
      <w:lvlJc w:val="left"/>
      <w:pPr>
        <w:tabs>
          <w:tab w:val="num" w:pos="1440"/>
        </w:tabs>
        <w:ind w:left="1440" w:hanging="360"/>
      </w:pPr>
      <w:rPr>
        <w:rFonts w:ascii="Arial" w:hAnsi="Arial" w:hint="default"/>
      </w:rPr>
    </w:lvl>
    <w:lvl w:ilvl="2" w:tplc="0A42D082" w:tentative="1">
      <w:start w:val="1"/>
      <w:numFmt w:val="bullet"/>
      <w:lvlText w:val="•"/>
      <w:lvlJc w:val="left"/>
      <w:pPr>
        <w:tabs>
          <w:tab w:val="num" w:pos="2160"/>
        </w:tabs>
        <w:ind w:left="2160" w:hanging="360"/>
      </w:pPr>
      <w:rPr>
        <w:rFonts w:ascii="Arial" w:hAnsi="Arial" w:hint="default"/>
      </w:rPr>
    </w:lvl>
    <w:lvl w:ilvl="3" w:tplc="ACBADC02" w:tentative="1">
      <w:start w:val="1"/>
      <w:numFmt w:val="bullet"/>
      <w:lvlText w:val="•"/>
      <w:lvlJc w:val="left"/>
      <w:pPr>
        <w:tabs>
          <w:tab w:val="num" w:pos="2880"/>
        </w:tabs>
        <w:ind w:left="2880" w:hanging="360"/>
      </w:pPr>
      <w:rPr>
        <w:rFonts w:ascii="Arial" w:hAnsi="Arial" w:hint="default"/>
      </w:rPr>
    </w:lvl>
    <w:lvl w:ilvl="4" w:tplc="E65846D4" w:tentative="1">
      <w:start w:val="1"/>
      <w:numFmt w:val="bullet"/>
      <w:lvlText w:val="•"/>
      <w:lvlJc w:val="left"/>
      <w:pPr>
        <w:tabs>
          <w:tab w:val="num" w:pos="3600"/>
        </w:tabs>
        <w:ind w:left="3600" w:hanging="360"/>
      </w:pPr>
      <w:rPr>
        <w:rFonts w:ascii="Arial" w:hAnsi="Arial" w:hint="default"/>
      </w:rPr>
    </w:lvl>
    <w:lvl w:ilvl="5" w:tplc="BD8879B8" w:tentative="1">
      <w:start w:val="1"/>
      <w:numFmt w:val="bullet"/>
      <w:lvlText w:val="•"/>
      <w:lvlJc w:val="left"/>
      <w:pPr>
        <w:tabs>
          <w:tab w:val="num" w:pos="4320"/>
        </w:tabs>
        <w:ind w:left="4320" w:hanging="360"/>
      </w:pPr>
      <w:rPr>
        <w:rFonts w:ascii="Arial" w:hAnsi="Arial" w:hint="default"/>
      </w:rPr>
    </w:lvl>
    <w:lvl w:ilvl="6" w:tplc="068EB67C" w:tentative="1">
      <w:start w:val="1"/>
      <w:numFmt w:val="bullet"/>
      <w:lvlText w:val="•"/>
      <w:lvlJc w:val="left"/>
      <w:pPr>
        <w:tabs>
          <w:tab w:val="num" w:pos="5040"/>
        </w:tabs>
        <w:ind w:left="5040" w:hanging="360"/>
      </w:pPr>
      <w:rPr>
        <w:rFonts w:ascii="Arial" w:hAnsi="Arial" w:hint="default"/>
      </w:rPr>
    </w:lvl>
    <w:lvl w:ilvl="7" w:tplc="20582658" w:tentative="1">
      <w:start w:val="1"/>
      <w:numFmt w:val="bullet"/>
      <w:lvlText w:val="•"/>
      <w:lvlJc w:val="left"/>
      <w:pPr>
        <w:tabs>
          <w:tab w:val="num" w:pos="5760"/>
        </w:tabs>
        <w:ind w:left="5760" w:hanging="360"/>
      </w:pPr>
      <w:rPr>
        <w:rFonts w:ascii="Arial" w:hAnsi="Arial" w:hint="default"/>
      </w:rPr>
    </w:lvl>
    <w:lvl w:ilvl="8" w:tplc="4C9A1D9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7"/>
  </w:num>
  <w:num w:numId="4">
    <w:abstractNumId w:val="1"/>
  </w:num>
  <w:num w:numId="5">
    <w:abstractNumId w:val="3"/>
  </w:num>
  <w:num w:numId="6">
    <w:abstractNumId w:val="2"/>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03"/>
    <w:rsid w:val="00037CE9"/>
    <w:rsid w:val="00044906"/>
    <w:rsid w:val="00083C22"/>
    <w:rsid w:val="000E4469"/>
    <w:rsid w:val="000F20B9"/>
    <w:rsid w:val="00115AD8"/>
    <w:rsid w:val="001535F6"/>
    <w:rsid w:val="001B0F46"/>
    <w:rsid w:val="002027B9"/>
    <w:rsid w:val="00216F38"/>
    <w:rsid w:val="00283C89"/>
    <w:rsid w:val="002E7197"/>
    <w:rsid w:val="002F547C"/>
    <w:rsid w:val="00427922"/>
    <w:rsid w:val="004A69EB"/>
    <w:rsid w:val="004B6068"/>
    <w:rsid w:val="004D0A55"/>
    <w:rsid w:val="004F61DF"/>
    <w:rsid w:val="00527C54"/>
    <w:rsid w:val="005417BD"/>
    <w:rsid w:val="00542407"/>
    <w:rsid w:val="00546B86"/>
    <w:rsid w:val="005C49A8"/>
    <w:rsid w:val="006D5B7C"/>
    <w:rsid w:val="007637C6"/>
    <w:rsid w:val="00771190"/>
    <w:rsid w:val="007C31DC"/>
    <w:rsid w:val="007F4FD9"/>
    <w:rsid w:val="00817CF7"/>
    <w:rsid w:val="008B70E9"/>
    <w:rsid w:val="008E33E6"/>
    <w:rsid w:val="009044E8"/>
    <w:rsid w:val="00927036"/>
    <w:rsid w:val="00966DB3"/>
    <w:rsid w:val="00974250"/>
    <w:rsid w:val="009C63E7"/>
    <w:rsid w:val="009C69B3"/>
    <w:rsid w:val="00A029A6"/>
    <w:rsid w:val="00A26D3F"/>
    <w:rsid w:val="00A665DE"/>
    <w:rsid w:val="00A92803"/>
    <w:rsid w:val="00AC0281"/>
    <w:rsid w:val="00B3209A"/>
    <w:rsid w:val="00B40F70"/>
    <w:rsid w:val="00B53C78"/>
    <w:rsid w:val="00B8592C"/>
    <w:rsid w:val="00B95B81"/>
    <w:rsid w:val="00B95C1E"/>
    <w:rsid w:val="00C53823"/>
    <w:rsid w:val="00CD565E"/>
    <w:rsid w:val="00CD7CAA"/>
    <w:rsid w:val="00CE106D"/>
    <w:rsid w:val="00D73103"/>
    <w:rsid w:val="00DF0B65"/>
    <w:rsid w:val="00E10DB1"/>
    <w:rsid w:val="00E32918"/>
    <w:rsid w:val="00E6130D"/>
    <w:rsid w:val="00F03E82"/>
    <w:rsid w:val="00F26D27"/>
    <w:rsid w:val="00F3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0D952"/>
  <w15:chartTrackingRefBased/>
  <w15:docId w15:val="{8B96FD5D-7B9E-456A-8F55-3BC9297C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10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73103"/>
    <w:rPr>
      <w:color w:val="0563C1" w:themeColor="hyperlink"/>
      <w:u w:val="single"/>
    </w:rPr>
  </w:style>
  <w:style w:type="character" w:styleId="FollowedHyperlink">
    <w:name w:val="FollowedHyperlink"/>
    <w:basedOn w:val="DefaultParagraphFont"/>
    <w:uiPriority w:val="99"/>
    <w:semiHidden/>
    <w:unhideWhenUsed/>
    <w:rsid w:val="009C63E7"/>
    <w:rPr>
      <w:color w:val="954F72" w:themeColor="followedHyperlink"/>
      <w:u w:val="single"/>
    </w:rPr>
  </w:style>
  <w:style w:type="paragraph" w:styleId="ListParagraph">
    <w:name w:val="List Paragraph"/>
    <w:basedOn w:val="Normal"/>
    <w:uiPriority w:val="34"/>
    <w:qFormat/>
    <w:rsid w:val="00966DB3"/>
    <w:pPr>
      <w:ind w:left="720"/>
      <w:contextualSpacing/>
    </w:pPr>
  </w:style>
  <w:style w:type="character" w:styleId="CommentReference">
    <w:name w:val="annotation reference"/>
    <w:basedOn w:val="DefaultParagraphFont"/>
    <w:uiPriority w:val="99"/>
    <w:semiHidden/>
    <w:unhideWhenUsed/>
    <w:rsid w:val="009C69B3"/>
    <w:rPr>
      <w:sz w:val="16"/>
      <w:szCs w:val="16"/>
    </w:rPr>
  </w:style>
  <w:style w:type="paragraph" w:styleId="CommentText">
    <w:name w:val="annotation text"/>
    <w:basedOn w:val="Normal"/>
    <w:link w:val="CommentTextChar"/>
    <w:uiPriority w:val="99"/>
    <w:semiHidden/>
    <w:unhideWhenUsed/>
    <w:rsid w:val="009C69B3"/>
    <w:pPr>
      <w:spacing w:line="240" w:lineRule="auto"/>
    </w:pPr>
    <w:rPr>
      <w:sz w:val="20"/>
      <w:szCs w:val="20"/>
    </w:rPr>
  </w:style>
  <w:style w:type="character" w:customStyle="1" w:styleId="CommentTextChar">
    <w:name w:val="Comment Text Char"/>
    <w:basedOn w:val="DefaultParagraphFont"/>
    <w:link w:val="CommentText"/>
    <w:uiPriority w:val="99"/>
    <w:semiHidden/>
    <w:rsid w:val="009C69B3"/>
    <w:rPr>
      <w:sz w:val="20"/>
      <w:szCs w:val="20"/>
    </w:rPr>
  </w:style>
  <w:style w:type="paragraph" w:styleId="CommentSubject">
    <w:name w:val="annotation subject"/>
    <w:basedOn w:val="CommentText"/>
    <w:next w:val="CommentText"/>
    <w:link w:val="CommentSubjectChar"/>
    <w:uiPriority w:val="99"/>
    <w:semiHidden/>
    <w:unhideWhenUsed/>
    <w:rsid w:val="009C69B3"/>
    <w:rPr>
      <w:b/>
      <w:bCs/>
    </w:rPr>
  </w:style>
  <w:style w:type="character" w:customStyle="1" w:styleId="CommentSubjectChar">
    <w:name w:val="Comment Subject Char"/>
    <w:basedOn w:val="CommentTextChar"/>
    <w:link w:val="CommentSubject"/>
    <w:uiPriority w:val="99"/>
    <w:semiHidden/>
    <w:rsid w:val="009C69B3"/>
    <w:rPr>
      <w:b/>
      <w:bCs/>
      <w:sz w:val="20"/>
      <w:szCs w:val="20"/>
    </w:rPr>
  </w:style>
  <w:style w:type="paragraph" w:styleId="Revision">
    <w:name w:val="Revision"/>
    <w:hidden/>
    <w:uiPriority w:val="99"/>
    <w:semiHidden/>
    <w:rsid w:val="009C69B3"/>
    <w:pPr>
      <w:spacing w:after="0" w:line="240" w:lineRule="auto"/>
    </w:pPr>
  </w:style>
  <w:style w:type="paragraph" w:styleId="BalloonText">
    <w:name w:val="Balloon Text"/>
    <w:basedOn w:val="Normal"/>
    <w:link w:val="BalloonTextChar"/>
    <w:uiPriority w:val="99"/>
    <w:semiHidden/>
    <w:unhideWhenUsed/>
    <w:rsid w:val="009C6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69B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D5B7C"/>
    <w:rPr>
      <w:color w:val="605E5C"/>
      <w:shd w:val="clear" w:color="auto" w:fill="E1DFDD"/>
    </w:rPr>
  </w:style>
  <w:style w:type="paragraph" w:styleId="Header">
    <w:name w:val="header"/>
    <w:basedOn w:val="Normal"/>
    <w:link w:val="HeaderChar"/>
    <w:uiPriority w:val="99"/>
    <w:unhideWhenUsed/>
    <w:rsid w:val="00B53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53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7586">
      <w:bodyDiv w:val="1"/>
      <w:marLeft w:val="0"/>
      <w:marRight w:val="0"/>
      <w:marTop w:val="0"/>
      <w:marBottom w:val="0"/>
      <w:divBdr>
        <w:top w:val="none" w:sz="0" w:space="0" w:color="auto"/>
        <w:left w:val="none" w:sz="0" w:space="0" w:color="auto"/>
        <w:bottom w:val="none" w:sz="0" w:space="0" w:color="auto"/>
        <w:right w:val="none" w:sz="0" w:space="0" w:color="auto"/>
      </w:divBdr>
      <w:divsChild>
        <w:div w:id="362361157">
          <w:marLeft w:val="432"/>
          <w:marRight w:val="0"/>
          <w:marTop w:val="360"/>
          <w:marBottom w:val="0"/>
          <w:divBdr>
            <w:top w:val="none" w:sz="0" w:space="0" w:color="auto"/>
            <w:left w:val="none" w:sz="0" w:space="0" w:color="auto"/>
            <w:bottom w:val="none" w:sz="0" w:space="0" w:color="auto"/>
            <w:right w:val="none" w:sz="0" w:space="0" w:color="auto"/>
          </w:divBdr>
        </w:div>
        <w:div w:id="2123719613">
          <w:marLeft w:val="792"/>
          <w:marRight w:val="0"/>
          <w:marTop w:val="120"/>
          <w:marBottom w:val="0"/>
          <w:divBdr>
            <w:top w:val="none" w:sz="0" w:space="0" w:color="auto"/>
            <w:left w:val="none" w:sz="0" w:space="0" w:color="auto"/>
            <w:bottom w:val="none" w:sz="0" w:space="0" w:color="auto"/>
            <w:right w:val="none" w:sz="0" w:space="0" w:color="auto"/>
          </w:divBdr>
        </w:div>
        <w:div w:id="1063798042">
          <w:marLeft w:val="432"/>
          <w:marRight w:val="0"/>
          <w:marTop w:val="360"/>
          <w:marBottom w:val="0"/>
          <w:divBdr>
            <w:top w:val="none" w:sz="0" w:space="0" w:color="auto"/>
            <w:left w:val="none" w:sz="0" w:space="0" w:color="auto"/>
            <w:bottom w:val="none" w:sz="0" w:space="0" w:color="auto"/>
            <w:right w:val="none" w:sz="0" w:space="0" w:color="auto"/>
          </w:divBdr>
        </w:div>
        <w:div w:id="109327110">
          <w:marLeft w:val="432"/>
          <w:marRight w:val="0"/>
          <w:marTop w:val="360"/>
          <w:marBottom w:val="0"/>
          <w:divBdr>
            <w:top w:val="none" w:sz="0" w:space="0" w:color="auto"/>
            <w:left w:val="none" w:sz="0" w:space="0" w:color="auto"/>
            <w:bottom w:val="none" w:sz="0" w:space="0" w:color="auto"/>
            <w:right w:val="none" w:sz="0" w:space="0" w:color="auto"/>
          </w:divBdr>
        </w:div>
      </w:divsChild>
    </w:div>
    <w:div w:id="450712944">
      <w:bodyDiv w:val="1"/>
      <w:marLeft w:val="0"/>
      <w:marRight w:val="0"/>
      <w:marTop w:val="0"/>
      <w:marBottom w:val="0"/>
      <w:divBdr>
        <w:top w:val="none" w:sz="0" w:space="0" w:color="auto"/>
        <w:left w:val="none" w:sz="0" w:space="0" w:color="auto"/>
        <w:bottom w:val="none" w:sz="0" w:space="0" w:color="auto"/>
        <w:right w:val="none" w:sz="0" w:space="0" w:color="auto"/>
      </w:divBdr>
      <w:divsChild>
        <w:div w:id="1005010990">
          <w:marLeft w:val="432"/>
          <w:marRight w:val="0"/>
          <w:marTop w:val="360"/>
          <w:marBottom w:val="0"/>
          <w:divBdr>
            <w:top w:val="none" w:sz="0" w:space="0" w:color="auto"/>
            <w:left w:val="none" w:sz="0" w:space="0" w:color="auto"/>
            <w:bottom w:val="none" w:sz="0" w:space="0" w:color="auto"/>
            <w:right w:val="none" w:sz="0" w:space="0" w:color="auto"/>
          </w:divBdr>
        </w:div>
        <w:div w:id="395124923">
          <w:marLeft w:val="792"/>
          <w:marRight w:val="0"/>
          <w:marTop w:val="120"/>
          <w:marBottom w:val="0"/>
          <w:divBdr>
            <w:top w:val="none" w:sz="0" w:space="0" w:color="auto"/>
            <w:left w:val="none" w:sz="0" w:space="0" w:color="auto"/>
            <w:bottom w:val="none" w:sz="0" w:space="0" w:color="auto"/>
            <w:right w:val="none" w:sz="0" w:space="0" w:color="auto"/>
          </w:divBdr>
        </w:div>
        <w:div w:id="98918306">
          <w:marLeft w:val="432"/>
          <w:marRight w:val="0"/>
          <w:marTop w:val="360"/>
          <w:marBottom w:val="0"/>
          <w:divBdr>
            <w:top w:val="none" w:sz="0" w:space="0" w:color="auto"/>
            <w:left w:val="none" w:sz="0" w:space="0" w:color="auto"/>
            <w:bottom w:val="none" w:sz="0" w:space="0" w:color="auto"/>
            <w:right w:val="none" w:sz="0" w:space="0" w:color="auto"/>
          </w:divBdr>
        </w:div>
        <w:div w:id="270086796">
          <w:marLeft w:val="792"/>
          <w:marRight w:val="0"/>
          <w:marTop w:val="120"/>
          <w:marBottom w:val="0"/>
          <w:divBdr>
            <w:top w:val="none" w:sz="0" w:space="0" w:color="auto"/>
            <w:left w:val="none" w:sz="0" w:space="0" w:color="auto"/>
            <w:bottom w:val="none" w:sz="0" w:space="0" w:color="auto"/>
            <w:right w:val="none" w:sz="0" w:space="0" w:color="auto"/>
          </w:divBdr>
        </w:div>
        <w:div w:id="370807524">
          <w:marLeft w:val="432"/>
          <w:marRight w:val="0"/>
          <w:marTop w:val="360"/>
          <w:marBottom w:val="0"/>
          <w:divBdr>
            <w:top w:val="none" w:sz="0" w:space="0" w:color="auto"/>
            <w:left w:val="none" w:sz="0" w:space="0" w:color="auto"/>
            <w:bottom w:val="none" w:sz="0" w:space="0" w:color="auto"/>
            <w:right w:val="none" w:sz="0" w:space="0" w:color="auto"/>
          </w:divBdr>
        </w:div>
        <w:div w:id="838034770">
          <w:marLeft w:val="792"/>
          <w:marRight w:val="0"/>
          <w:marTop w:val="120"/>
          <w:marBottom w:val="0"/>
          <w:divBdr>
            <w:top w:val="none" w:sz="0" w:space="0" w:color="auto"/>
            <w:left w:val="none" w:sz="0" w:space="0" w:color="auto"/>
            <w:bottom w:val="none" w:sz="0" w:space="0" w:color="auto"/>
            <w:right w:val="none" w:sz="0" w:space="0" w:color="auto"/>
          </w:divBdr>
        </w:div>
      </w:divsChild>
    </w:div>
    <w:div w:id="459961355">
      <w:bodyDiv w:val="1"/>
      <w:marLeft w:val="0"/>
      <w:marRight w:val="0"/>
      <w:marTop w:val="0"/>
      <w:marBottom w:val="0"/>
      <w:divBdr>
        <w:top w:val="none" w:sz="0" w:space="0" w:color="auto"/>
        <w:left w:val="none" w:sz="0" w:space="0" w:color="auto"/>
        <w:bottom w:val="none" w:sz="0" w:space="0" w:color="auto"/>
        <w:right w:val="none" w:sz="0" w:space="0" w:color="auto"/>
      </w:divBdr>
      <w:divsChild>
        <w:div w:id="550267110">
          <w:marLeft w:val="432"/>
          <w:marRight w:val="0"/>
          <w:marTop w:val="360"/>
          <w:marBottom w:val="0"/>
          <w:divBdr>
            <w:top w:val="none" w:sz="0" w:space="0" w:color="auto"/>
            <w:left w:val="none" w:sz="0" w:space="0" w:color="auto"/>
            <w:bottom w:val="none" w:sz="0" w:space="0" w:color="auto"/>
            <w:right w:val="none" w:sz="0" w:space="0" w:color="auto"/>
          </w:divBdr>
        </w:div>
        <w:div w:id="993752708">
          <w:marLeft w:val="792"/>
          <w:marRight w:val="0"/>
          <w:marTop w:val="120"/>
          <w:marBottom w:val="0"/>
          <w:divBdr>
            <w:top w:val="none" w:sz="0" w:space="0" w:color="auto"/>
            <w:left w:val="none" w:sz="0" w:space="0" w:color="auto"/>
            <w:bottom w:val="none" w:sz="0" w:space="0" w:color="auto"/>
            <w:right w:val="none" w:sz="0" w:space="0" w:color="auto"/>
          </w:divBdr>
        </w:div>
        <w:div w:id="1109473540">
          <w:marLeft w:val="792"/>
          <w:marRight w:val="0"/>
          <w:marTop w:val="120"/>
          <w:marBottom w:val="0"/>
          <w:divBdr>
            <w:top w:val="none" w:sz="0" w:space="0" w:color="auto"/>
            <w:left w:val="none" w:sz="0" w:space="0" w:color="auto"/>
            <w:bottom w:val="none" w:sz="0" w:space="0" w:color="auto"/>
            <w:right w:val="none" w:sz="0" w:space="0" w:color="auto"/>
          </w:divBdr>
        </w:div>
        <w:div w:id="1214731212">
          <w:marLeft w:val="792"/>
          <w:marRight w:val="0"/>
          <w:marTop w:val="120"/>
          <w:marBottom w:val="0"/>
          <w:divBdr>
            <w:top w:val="none" w:sz="0" w:space="0" w:color="auto"/>
            <w:left w:val="none" w:sz="0" w:space="0" w:color="auto"/>
            <w:bottom w:val="none" w:sz="0" w:space="0" w:color="auto"/>
            <w:right w:val="none" w:sz="0" w:space="0" w:color="auto"/>
          </w:divBdr>
        </w:div>
        <w:div w:id="260577162">
          <w:marLeft w:val="792"/>
          <w:marRight w:val="0"/>
          <w:marTop w:val="120"/>
          <w:marBottom w:val="0"/>
          <w:divBdr>
            <w:top w:val="none" w:sz="0" w:space="0" w:color="auto"/>
            <w:left w:val="none" w:sz="0" w:space="0" w:color="auto"/>
            <w:bottom w:val="none" w:sz="0" w:space="0" w:color="auto"/>
            <w:right w:val="none" w:sz="0" w:space="0" w:color="auto"/>
          </w:divBdr>
        </w:div>
        <w:div w:id="683094413">
          <w:marLeft w:val="792"/>
          <w:marRight w:val="0"/>
          <w:marTop w:val="120"/>
          <w:marBottom w:val="0"/>
          <w:divBdr>
            <w:top w:val="none" w:sz="0" w:space="0" w:color="auto"/>
            <w:left w:val="none" w:sz="0" w:space="0" w:color="auto"/>
            <w:bottom w:val="none" w:sz="0" w:space="0" w:color="auto"/>
            <w:right w:val="none" w:sz="0" w:space="0" w:color="auto"/>
          </w:divBdr>
        </w:div>
        <w:div w:id="510948898">
          <w:marLeft w:val="432"/>
          <w:marRight w:val="0"/>
          <w:marTop w:val="360"/>
          <w:marBottom w:val="0"/>
          <w:divBdr>
            <w:top w:val="none" w:sz="0" w:space="0" w:color="auto"/>
            <w:left w:val="none" w:sz="0" w:space="0" w:color="auto"/>
            <w:bottom w:val="none" w:sz="0" w:space="0" w:color="auto"/>
            <w:right w:val="none" w:sz="0" w:space="0" w:color="auto"/>
          </w:divBdr>
        </w:div>
        <w:div w:id="1909026111">
          <w:marLeft w:val="792"/>
          <w:marRight w:val="0"/>
          <w:marTop w:val="120"/>
          <w:marBottom w:val="0"/>
          <w:divBdr>
            <w:top w:val="none" w:sz="0" w:space="0" w:color="auto"/>
            <w:left w:val="none" w:sz="0" w:space="0" w:color="auto"/>
            <w:bottom w:val="none" w:sz="0" w:space="0" w:color="auto"/>
            <w:right w:val="none" w:sz="0" w:space="0" w:color="auto"/>
          </w:divBdr>
        </w:div>
        <w:div w:id="1512069157">
          <w:marLeft w:val="432"/>
          <w:marRight w:val="0"/>
          <w:marTop w:val="360"/>
          <w:marBottom w:val="0"/>
          <w:divBdr>
            <w:top w:val="none" w:sz="0" w:space="0" w:color="auto"/>
            <w:left w:val="none" w:sz="0" w:space="0" w:color="auto"/>
            <w:bottom w:val="none" w:sz="0" w:space="0" w:color="auto"/>
            <w:right w:val="none" w:sz="0" w:space="0" w:color="auto"/>
          </w:divBdr>
        </w:div>
      </w:divsChild>
    </w:div>
    <w:div w:id="898632499">
      <w:bodyDiv w:val="1"/>
      <w:marLeft w:val="0"/>
      <w:marRight w:val="0"/>
      <w:marTop w:val="0"/>
      <w:marBottom w:val="0"/>
      <w:divBdr>
        <w:top w:val="none" w:sz="0" w:space="0" w:color="auto"/>
        <w:left w:val="none" w:sz="0" w:space="0" w:color="auto"/>
        <w:bottom w:val="none" w:sz="0" w:space="0" w:color="auto"/>
        <w:right w:val="none" w:sz="0" w:space="0" w:color="auto"/>
      </w:divBdr>
    </w:div>
    <w:div w:id="1074861099">
      <w:bodyDiv w:val="1"/>
      <w:marLeft w:val="0"/>
      <w:marRight w:val="0"/>
      <w:marTop w:val="0"/>
      <w:marBottom w:val="0"/>
      <w:divBdr>
        <w:top w:val="none" w:sz="0" w:space="0" w:color="auto"/>
        <w:left w:val="none" w:sz="0" w:space="0" w:color="auto"/>
        <w:bottom w:val="none" w:sz="0" w:space="0" w:color="auto"/>
        <w:right w:val="none" w:sz="0" w:space="0" w:color="auto"/>
      </w:divBdr>
      <w:divsChild>
        <w:div w:id="627443191">
          <w:marLeft w:val="432"/>
          <w:marRight w:val="0"/>
          <w:marTop w:val="360"/>
          <w:marBottom w:val="0"/>
          <w:divBdr>
            <w:top w:val="none" w:sz="0" w:space="0" w:color="auto"/>
            <w:left w:val="none" w:sz="0" w:space="0" w:color="auto"/>
            <w:bottom w:val="none" w:sz="0" w:space="0" w:color="auto"/>
            <w:right w:val="none" w:sz="0" w:space="0" w:color="auto"/>
          </w:divBdr>
        </w:div>
        <w:div w:id="1640190642">
          <w:marLeft w:val="792"/>
          <w:marRight w:val="0"/>
          <w:marTop w:val="120"/>
          <w:marBottom w:val="0"/>
          <w:divBdr>
            <w:top w:val="none" w:sz="0" w:space="0" w:color="auto"/>
            <w:left w:val="none" w:sz="0" w:space="0" w:color="auto"/>
            <w:bottom w:val="none" w:sz="0" w:space="0" w:color="auto"/>
            <w:right w:val="none" w:sz="0" w:space="0" w:color="auto"/>
          </w:divBdr>
        </w:div>
        <w:div w:id="315573776">
          <w:marLeft w:val="432"/>
          <w:marRight w:val="0"/>
          <w:marTop w:val="360"/>
          <w:marBottom w:val="0"/>
          <w:divBdr>
            <w:top w:val="none" w:sz="0" w:space="0" w:color="auto"/>
            <w:left w:val="none" w:sz="0" w:space="0" w:color="auto"/>
            <w:bottom w:val="none" w:sz="0" w:space="0" w:color="auto"/>
            <w:right w:val="none" w:sz="0" w:space="0" w:color="auto"/>
          </w:divBdr>
        </w:div>
        <w:div w:id="1536889393">
          <w:marLeft w:val="432"/>
          <w:marRight w:val="0"/>
          <w:marTop w:val="360"/>
          <w:marBottom w:val="0"/>
          <w:divBdr>
            <w:top w:val="none" w:sz="0" w:space="0" w:color="auto"/>
            <w:left w:val="none" w:sz="0" w:space="0" w:color="auto"/>
            <w:bottom w:val="none" w:sz="0" w:space="0" w:color="auto"/>
            <w:right w:val="none" w:sz="0" w:space="0" w:color="auto"/>
          </w:divBdr>
        </w:div>
        <w:div w:id="1788238415">
          <w:marLeft w:val="432"/>
          <w:marRight w:val="0"/>
          <w:marTop w:val="360"/>
          <w:marBottom w:val="0"/>
          <w:divBdr>
            <w:top w:val="none" w:sz="0" w:space="0" w:color="auto"/>
            <w:left w:val="none" w:sz="0" w:space="0" w:color="auto"/>
            <w:bottom w:val="none" w:sz="0" w:space="0" w:color="auto"/>
            <w:right w:val="none" w:sz="0" w:space="0" w:color="auto"/>
          </w:divBdr>
        </w:div>
        <w:div w:id="1460613802">
          <w:marLeft w:val="432"/>
          <w:marRight w:val="0"/>
          <w:marTop w:val="360"/>
          <w:marBottom w:val="0"/>
          <w:divBdr>
            <w:top w:val="none" w:sz="0" w:space="0" w:color="auto"/>
            <w:left w:val="none" w:sz="0" w:space="0" w:color="auto"/>
            <w:bottom w:val="none" w:sz="0" w:space="0" w:color="auto"/>
            <w:right w:val="none" w:sz="0" w:space="0" w:color="auto"/>
          </w:divBdr>
        </w:div>
      </w:divsChild>
    </w:div>
    <w:div w:id="1295867819">
      <w:bodyDiv w:val="1"/>
      <w:marLeft w:val="0"/>
      <w:marRight w:val="0"/>
      <w:marTop w:val="0"/>
      <w:marBottom w:val="0"/>
      <w:divBdr>
        <w:top w:val="none" w:sz="0" w:space="0" w:color="auto"/>
        <w:left w:val="none" w:sz="0" w:space="0" w:color="auto"/>
        <w:bottom w:val="none" w:sz="0" w:space="0" w:color="auto"/>
        <w:right w:val="none" w:sz="0" w:space="0" w:color="auto"/>
      </w:divBdr>
      <w:divsChild>
        <w:div w:id="1427726514">
          <w:marLeft w:val="432"/>
          <w:marRight w:val="0"/>
          <w:marTop w:val="360"/>
          <w:marBottom w:val="0"/>
          <w:divBdr>
            <w:top w:val="none" w:sz="0" w:space="0" w:color="auto"/>
            <w:left w:val="none" w:sz="0" w:space="0" w:color="auto"/>
            <w:bottom w:val="none" w:sz="0" w:space="0" w:color="auto"/>
            <w:right w:val="none" w:sz="0" w:space="0" w:color="auto"/>
          </w:divBdr>
        </w:div>
        <w:div w:id="729227673">
          <w:marLeft w:val="432"/>
          <w:marRight w:val="0"/>
          <w:marTop w:val="360"/>
          <w:marBottom w:val="0"/>
          <w:divBdr>
            <w:top w:val="none" w:sz="0" w:space="0" w:color="auto"/>
            <w:left w:val="none" w:sz="0" w:space="0" w:color="auto"/>
            <w:bottom w:val="none" w:sz="0" w:space="0" w:color="auto"/>
            <w:right w:val="none" w:sz="0" w:space="0" w:color="auto"/>
          </w:divBdr>
        </w:div>
        <w:div w:id="235214092">
          <w:marLeft w:val="792"/>
          <w:marRight w:val="0"/>
          <w:marTop w:val="120"/>
          <w:marBottom w:val="0"/>
          <w:divBdr>
            <w:top w:val="none" w:sz="0" w:space="0" w:color="auto"/>
            <w:left w:val="none" w:sz="0" w:space="0" w:color="auto"/>
            <w:bottom w:val="none" w:sz="0" w:space="0" w:color="auto"/>
            <w:right w:val="none" w:sz="0" w:space="0" w:color="auto"/>
          </w:divBdr>
        </w:div>
        <w:div w:id="101264167">
          <w:marLeft w:val="432"/>
          <w:marRight w:val="0"/>
          <w:marTop w:val="360"/>
          <w:marBottom w:val="0"/>
          <w:divBdr>
            <w:top w:val="none" w:sz="0" w:space="0" w:color="auto"/>
            <w:left w:val="none" w:sz="0" w:space="0" w:color="auto"/>
            <w:bottom w:val="none" w:sz="0" w:space="0" w:color="auto"/>
            <w:right w:val="none" w:sz="0" w:space="0" w:color="auto"/>
          </w:divBdr>
        </w:div>
        <w:div w:id="1677072114">
          <w:marLeft w:val="792"/>
          <w:marRight w:val="0"/>
          <w:marTop w:val="120"/>
          <w:marBottom w:val="0"/>
          <w:divBdr>
            <w:top w:val="none" w:sz="0" w:space="0" w:color="auto"/>
            <w:left w:val="none" w:sz="0" w:space="0" w:color="auto"/>
            <w:bottom w:val="none" w:sz="0" w:space="0" w:color="auto"/>
            <w:right w:val="none" w:sz="0" w:space="0" w:color="auto"/>
          </w:divBdr>
        </w:div>
        <w:div w:id="1208378490">
          <w:marLeft w:val="432"/>
          <w:marRight w:val="0"/>
          <w:marTop w:val="360"/>
          <w:marBottom w:val="0"/>
          <w:divBdr>
            <w:top w:val="none" w:sz="0" w:space="0" w:color="auto"/>
            <w:left w:val="none" w:sz="0" w:space="0" w:color="auto"/>
            <w:bottom w:val="none" w:sz="0" w:space="0" w:color="auto"/>
            <w:right w:val="none" w:sz="0" w:space="0" w:color="auto"/>
          </w:divBdr>
        </w:div>
        <w:div w:id="1332758724">
          <w:marLeft w:val="432"/>
          <w:marRight w:val="0"/>
          <w:marTop w:val="360"/>
          <w:marBottom w:val="0"/>
          <w:divBdr>
            <w:top w:val="none" w:sz="0" w:space="0" w:color="auto"/>
            <w:left w:val="none" w:sz="0" w:space="0" w:color="auto"/>
            <w:bottom w:val="none" w:sz="0" w:space="0" w:color="auto"/>
            <w:right w:val="none" w:sz="0" w:space="0" w:color="auto"/>
          </w:divBdr>
        </w:div>
        <w:div w:id="740640002">
          <w:marLeft w:val="432"/>
          <w:marRight w:val="0"/>
          <w:marTop w:val="360"/>
          <w:marBottom w:val="0"/>
          <w:divBdr>
            <w:top w:val="none" w:sz="0" w:space="0" w:color="auto"/>
            <w:left w:val="none" w:sz="0" w:space="0" w:color="auto"/>
            <w:bottom w:val="none" w:sz="0" w:space="0" w:color="auto"/>
            <w:right w:val="none" w:sz="0" w:space="0" w:color="auto"/>
          </w:divBdr>
        </w:div>
        <w:div w:id="1548108897">
          <w:marLeft w:val="432"/>
          <w:marRight w:val="0"/>
          <w:marTop w:val="360"/>
          <w:marBottom w:val="0"/>
          <w:divBdr>
            <w:top w:val="none" w:sz="0" w:space="0" w:color="auto"/>
            <w:left w:val="none" w:sz="0" w:space="0" w:color="auto"/>
            <w:bottom w:val="none" w:sz="0" w:space="0" w:color="auto"/>
            <w:right w:val="none" w:sz="0" w:space="0" w:color="auto"/>
          </w:divBdr>
        </w:div>
      </w:divsChild>
    </w:div>
    <w:div w:id="1315835120">
      <w:bodyDiv w:val="1"/>
      <w:marLeft w:val="0"/>
      <w:marRight w:val="0"/>
      <w:marTop w:val="0"/>
      <w:marBottom w:val="0"/>
      <w:divBdr>
        <w:top w:val="none" w:sz="0" w:space="0" w:color="auto"/>
        <w:left w:val="none" w:sz="0" w:space="0" w:color="auto"/>
        <w:bottom w:val="none" w:sz="0" w:space="0" w:color="auto"/>
        <w:right w:val="none" w:sz="0" w:space="0" w:color="auto"/>
      </w:divBdr>
      <w:divsChild>
        <w:div w:id="106122699">
          <w:marLeft w:val="432"/>
          <w:marRight w:val="0"/>
          <w:marTop w:val="360"/>
          <w:marBottom w:val="0"/>
          <w:divBdr>
            <w:top w:val="none" w:sz="0" w:space="0" w:color="auto"/>
            <w:left w:val="none" w:sz="0" w:space="0" w:color="auto"/>
            <w:bottom w:val="none" w:sz="0" w:space="0" w:color="auto"/>
            <w:right w:val="none" w:sz="0" w:space="0" w:color="auto"/>
          </w:divBdr>
        </w:div>
        <w:div w:id="1087724623">
          <w:marLeft w:val="432"/>
          <w:marRight w:val="0"/>
          <w:marTop w:val="360"/>
          <w:marBottom w:val="0"/>
          <w:divBdr>
            <w:top w:val="none" w:sz="0" w:space="0" w:color="auto"/>
            <w:left w:val="none" w:sz="0" w:space="0" w:color="auto"/>
            <w:bottom w:val="none" w:sz="0" w:space="0" w:color="auto"/>
            <w:right w:val="none" w:sz="0" w:space="0" w:color="auto"/>
          </w:divBdr>
        </w:div>
        <w:div w:id="140657605">
          <w:marLeft w:val="792"/>
          <w:marRight w:val="0"/>
          <w:marTop w:val="120"/>
          <w:marBottom w:val="0"/>
          <w:divBdr>
            <w:top w:val="none" w:sz="0" w:space="0" w:color="auto"/>
            <w:left w:val="none" w:sz="0" w:space="0" w:color="auto"/>
            <w:bottom w:val="none" w:sz="0" w:space="0" w:color="auto"/>
            <w:right w:val="none" w:sz="0" w:space="0" w:color="auto"/>
          </w:divBdr>
        </w:div>
        <w:div w:id="1806965805">
          <w:marLeft w:val="792"/>
          <w:marRight w:val="0"/>
          <w:marTop w:val="120"/>
          <w:marBottom w:val="0"/>
          <w:divBdr>
            <w:top w:val="none" w:sz="0" w:space="0" w:color="auto"/>
            <w:left w:val="none" w:sz="0" w:space="0" w:color="auto"/>
            <w:bottom w:val="none" w:sz="0" w:space="0" w:color="auto"/>
            <w:right w:val="none" w:sz="0" w:space="0" w:color="auto"/>
          </w:divBdr>
        </w:div>
        <w:div w:id="281307733">
          <w:marLeft w:val="432"/>
          <w:marRight w:val="0"/>
          <w:marTop w:val="360"/>
          <w:marBottom w:val="0"/>
          <w:divBdr>
            <w:top w:val="none" w:sz="0" w:space="0" w:color="auto"/>
            <w:left w:val="none" w:sz="0" w:space="0" w:color="auto"/>
            <w:bottom w:val="none" w:sz="0" w:space="0" w:color="auto"/>
            <w:right w:val="none" w:sz="0" w:space="0" w:color="auto"/>
          </w:divBdr>
        </w:div>
        <w:div w:id="1315840437">
          <w:marLeft w:val="792"/>
          <w:marRight w:val="0"/>
          <w:marTop w:val="120"/>
          <w:marBottom w:val="0"/>
          <w:divBdr>
            <w:top w:val="none" w:sz="0" w:space="0" w:color="auto"/>
            <w:left w:val="none" w:sz="0" w:space="0" w:color="auto"/>
            <w:bottom w:val="none" w:sz="0" w:space="0" w:color="auto"/>
            <w:right w:val="none" w:sz="0" w:space="0" w:color="auto"/>
          </w:divBdr>
        </w:div>
        <w:div w:id="1113670488">
          <w:marLeft w:val="792"/>
          <w:marRight w:val="0"/>
          <w:marTop w:val="120"/>
          <w:marBottom w:val="0"/>
          <w:divBdr>
            <w:top w:val="none" w:sz="0" w:space="0" w:color="auto"/>
            <w:left w:val="none" w:sz="0" w:space="0" w:color="auto"/>
            <w:bottom w:val="none" w:sz="0" w:space="0" w:color="auto"/>
            <w:right w:val="none" w:sz="0" w:space="0" w:color="auto"/>
          </w:divBdr>
        </w:div>
        <w:div w:id="661660116">
          <w:marLeft w:val="792"/>
          <w:marRight w:val="0"/>
          <w:marTop w:val="120"/>
          <w:marBottom w:val="0"/>
          <w:divBdr>
            <w:top w:val="none" w:sz="0" w:space="0" w:color="auto"/>
            <w:left w:val="none" w:sz="0" w:space="0" w:color="auto"/>
            <w:bottom w:val="none" w:sz="0" w:space="0" w:color="auto"/>
            <w:right w:val="none" w:sz="0" w:space="0" w:color="auto"/>
          </w:divBdr>
        </w:div>
      </w:divsChild>
    </w:div>
    <w:div w:id="1481657323">
      <w:bodyDiv w:val="1"/>
      <w:marLeft w:val="0"/>
      <w:marRight w:val="0"/>
      <w:marTop w:val="0"/>
      <w:marBottom w:val="0"/>
      <w:divBdr>
        <w:top w:val="none" w:sz="0" w:space="0" w:color="auto"/>
        <w:left w:val="none" w:sz="0" w:space="0" w:color="auto"/>
        <w:bottom w:val="none" w:sz="0" w:space="0" w:color="auto"/>
        <w:right w:val="none" w:sz="0" w:space="0" w:color="auto"/>
      </w:divBdr>
      <w:divsChild>
        <w:div w:id="1979411092">
          <w:marLeft w:val="432"/>
          <w:marRight w:val="0"/>
          <w:marTop w:val="360"/>
          <w:marBottom w:val="0"/>
          <w:divBdr>
            <w:top w:val="none" w:sz="0" w:space="0" w:color="auto"/>
            <w:left w:val="none" w:sz="0" w:space="0" w:color="auto"/>
            <w:bottom w:val="none" w:sz="0" w:space="0" w:color="auto"/>
            <w:right w:val="none" w:sz="0" w:space="0" w:color="auto"/>
          </w:divBdr>
        </w:div>
        <w:div w:id="1146170494">
          <w:marLeft w:val="792"/>
          <w:marRight w:val="0"/>
          <w:marTop w:val="120"/>
          <w:marBottom w:val="0"/>
          <w:divBdr>
            <w:top w:val="none" w:sz="0" w:space="0" w:color="auto"/>
            <w:left w:val="none" w:sz="0" w:space="0" w:color="auto"/>
            <w:bottom w:val="none" w:sz="0" w:space="0" w:color="auto"/>
            <w:right w:val="none" w:sz="0" w:space="0" w:color="auto"/>
          </w:divBdr>
        </w:div>
        <w:div w:id="954752013">
          <w:marLeft w:val="792"/>
          <w:marRight w:val="0"/>
          <w:marTop w:val="120"/>
          <w:marBottom w:val="0"/>
          <w:divBdr>
            <w:top w:val="none" w:sz="0" w:space="0" w:color="auto"/>
            <w:left w:val="none" w:sz="0" w:space="0" w:color="auto"/>
            <w:bottom w:val="none" w:sz="0" w:space="0" w:color="auto"/>
            <w:right w:val="none" w:sz="0" w:space="0" w:color="auto"/>
          </w:divBdr>
        </w:div>
        <w:div w:id="83036291">
          <w:marLeft w:val="432"/>
          <w:marRight w:val="0"/>
          <w:marTop w:val="360"/>
          <w:marBottom w:val="0"/>
          <w:divBdr>
            <w:top w:val="none" w:sz="0" w:space="0" w:color="auto"/>
            <w:left w:val="none" w:sz="0" w:space="0" w:color="auto"/>
            <w:bottom w:val="none" w:sz="0" w:space="0" w:color="auto"/>
            <w:right w:val="none" w:sz="0" w:space="0" w:color="auto"/>
          </w:divBdr>
        </w:div>
        <w:div w:id="2027323273">
          <w:marLeft w:val="792"/>
          <w:marRight w:val="0"/>
          <w:marTop w:val="120"/>
          <w:marBottom w:val="0"/>
          <w:divBdr>
            <w:top w:val="none" w:sz="0" w:space="0" w:color="auto"/>
            <w:left w:val="none" w:sz="0" w:space="0" w:color="auto"/>
            <w:bottom w:val="none" w:sz="0" w:space="0" w:color="auto"/>
            <w:right w:val="none" w:sz="0" w:space="0" w:color="auto"/>
          </w:divBdr>
        </w:div>
        <w:div w:id="1109812325">
          <w:marLeft w:val="792"/>
          <w:marRight w:val="0"/>
          <w:marTop w:val="120"/>
          <w:marBottom w:val="0"/>
          <w:divBdr>
            <w:top w:val="none" w:sz="0" w:space="0" w:color="auto"/>
            <w:left w:val="none" w:sz="0" w:space="0" w:color="auto"/>
            <w:bottom w:val="none" w:sz="0" w:space="0" w:color="auto"/>
            <w:right w:val="none" w:sz="0" w:space="0" w:color="auto"/>
          </w:divBdr>
        </w:div>
        <w:div w:id="2019501071">
          <w:marLeft w:val="792"/>
          <w:marRight w:val="0"/>
          <w:marTop w:val="120"/>
          <w:marBottom w:val="0"/>
          <w:divBdr>
            <w:top w:val="none" w:sz="0" w:space="0" w:color="auto"/>
            <w:left w:val="none" w:sz="0" w:space="0" w:color="auto"/>
            <w:bottom w:val="none" w:sz="0" w:space="0" w:color="auto"/>
            <w:right w:val="none" w:sz="0" w:space="0" w:color="auto"/>
          </w:divBdr>
        </w:div>
        <w:div w:id="1827043541">
          <w:marLeft w:val="792"/>
          <w:marRight w:val="0"/>
          <w:marTop w:val="120"/>
          <w:marBottom w:val="0"/>
          <w:divBdr>
            <w:top w:val="none" w:sz="0" w:space="0" w:color="auto"/>
            <w:left w:val="none" w:sz="0" w:space="0" w:color="auto"/>
            <w:bottom w:val="none" w:sz="0" w:space="0" w:color="auto"/>
            <w:right w:val="none" w:sz="0" w:space="0" w:color="auto"/>
          </w:divBdr>
        </w:div>
        <w:div w:id="406659887">
          <w:marLeft w:val="792"/>
          <w:marRight w:val="0"/>
          <w:marTop w:val="120"/>
          <w:marBottom w:val="0"/>
          <w:divBdr>
            <w:top w:val="none" w:sz="0" w:space="0" w:color="auto"/>
            <w:left w:val="none" w:sz="0" w:space="0" w:color="auto"/>
            <w:bottom w:val="none" w:sz="0" w:space="0" w:color="auto"/>
            <w:right w:val="none" w:sz="0" w:space="0" w:color="auto"/>
          </w:divBdr>
        </w:div>
        <w:div w:id="107966372">
          <w:marLeft w:val="792"/>
          <w:marRight w:val="0"/>
          <w:marTop w:val="120"/>
          <w:marBottom w:val="0"/>
          <w:divBdr>
            <w:top w:val="none" w:sz="0" w:space="0" w:color="auto"/>
            <w:left w:val="none" w:sz="0" w:space="0" w:color="auto"/>
            <w:bottom w:val="none" w:sz="0" w:space="0" w:color="auto"/>
            <w:right w:val="none" w:sz="0" w:space="0" w:color="auto"/>
          </w:divBdr>
        </w:div>
        <w:div w:id="2111047052">
          <w:marLeft w:val="792"/>
          <w:marRight w:val="0"/>
          <w:marTop w:val="120"/>
          <w:marBottom w:val="0"/>
          <w:divBdr>
            <w:top w:val="none" w:sz="0" w:space="0" w:color="auto"/>
            <w:left w:val="none" w:sz="0" w:space="0" w:color="auto"/>
            <w:bottom w:val="none" w:sz="0" w:space="0" w:color="auto"/>
            <w:right w:val="none" w:sz="0" w:space="0" w:color="auto"/>
          </w:divBdr>
        </w:div>
      </w:divsChild>
    </w:div>
    <w:div w:id="1720124902">
      <w:bodyDiv w:val="1"/>
      <w:marLeft w:val="0"/>
      <w:marRight w:val="0"/>
      <w:marTop w:val="0"/>
      <w:marBottom w:val="0"/>
      <w:divBdr>
        <w:top w:val="none" w:sz="0" w:space="0" w:color="auto"/>
        <w:left w:val="none" w:sz="0" w:space="0" w:color="auto"/>
        <w:bottom w:val="none" w:sz="0" w:space="0" w:color="auto"/>
        <w:right w:val="none" w:sz="0" w:space="0" w:color="auto"/>
      </w:divBdr>
      <w:divsChild>
        <w:div w:id="778647388">
          <w:marLeft w:val="432"/>
          <w:marRight w:val="0"/>
          <w:marTop w:val="360"/>
          <w:marBottom w:val="0"/>
          <w:divBdr>
            <w:top w:val="none" w:sz="0" w:space="0" w:color="auto"/>
            <w:left w:val="none" w:sz="0" w:space="0" w:color="auto"/>
            <w:bottom w:val="none" w:sz="0" w:space="0" w:color="auto"/>
            <w:right w:val="none" w:sz="0" w:space="0" w:color="auto"/>
          </w:divBdr>
        </w:div>
        <w:div w:id="956570314">
          <w:marLeft w:val="792"/>
          <w:marRight w:val="0"/>
          <w:marTop w:val="120"/>
          <w:marBottom w:val="0"/>
          <w:divBdr>
            <w:top w:val="none" w:sz="0" w:space="0" w:color="auto"/>
            <w:left w:val="none" w:sz="0" w:space="0" w:color="auto"/>
            <w:bottom w:val="none" w:sz="0" w:space="0" w:color="auto"/>
            <w:right w:val="none" w:sz="0" w:space="0" w:color="auto"/>
          </w:divBdr>
        </w:div>
        <w:div w:id="1434128783">
          <w:marLeft w:val="792"/>
          <w:marRight w:val="0"/>
          <w:marTop w:val="120"/>
          <w:marBottom w:val="0"/>
          <w:divBdr>
            <w:top w:val="none" w:sz="0" w:space="0" w:color="auto"/>
            <w:left w:val="none" w:sz="0" w:space="0" w:color="auto"/>
            <w:bottom w:val="none" w:sz="0" w:space="0" w:color="auto"/>
            <w:right w:val="none" w:sz="0" w:space="0" w:color="auto"/>
          </w:divBdr>
        </w:div>
        <w:div w:id="296028112">
          <w:marLeft w:val="432"/>
          <w:marRight w:val="0"/>
          <w:marTop w:val="360"/>
          <w:marBottom w:val="0"/>
          <w:divBdr>
            <w:top w:val="none" w:sz="0" w:space="0" w:color="auto"/>
            <w:left w:val="none" w:sz="0" w:space="0" w:color="auto"/>
            <w:bottom w:val="none" w:sz="0" w:space="0" w:color="auto"/>
            <w:right w:val="none" w:sz="0" w:space="0" w:color="auto"/>
          </w:divBdr>
        </w:div>
        <w:div w:id="523710379">
          <w:marLeft w:val="792"/>
          <w:marRight w:val="0"/>
          <w:marTop w:val="120"/>
          <w:marBottom w:val="0"/>
          <w:divBdr>
            <w:top w:val="none" w:sz="0" w:space="0" w:color="auto"/>
            <w:left w:val="none" w:sz="0" w:space="0" w:color="auto"/>
            <w:bottom w:val="none" w:sz="0" w:space="0" w:color="auto"/>
            <w:right w:val="none" w:sz="0" w:space="0" w:color="auto"/>
          </w:divBdr>
        </w:div>
        <w:div w:id="1297685663">
          <w:marLeft w:val="792"/>
          <w:marRight w:val="0"/>
          <w:marTop w:val="120"/>
          <w:marBottom w:val="0"/>
          <w:divBdr>
            <w:top w:val="none" w:sz="0" w:space="0" w:color="auto"/>
            <w:left w:val="none" w:sz="0" w:space="0" w:color="auto"/>
            <w:bottom w:val="none" w:sz="0" w:space="0" w:color="auto"/>
            <w:right w:val="none" w:sz="0" w:space="0" w:color="auto"/>
          </w:divBdr>
        </w:div>
        <w:div w:id="1960523436">
          <w:marLeft w:val="432"/>
          <w:marRight w:val="0"/>
          <w:marTop w:val="360"/>
          <w:marBottom w:val="0"/>
          <w:divBdr>
            <w:top w:val="none" w:sz="0" w:space="0" w:color="auto"/>
            <w:left w:val="none" w:sz="0" w:space="0" w:color="auto"/>
            <w:bottom w:val="none" w:sz="0" w:space="0" w:color="auto"/>
            <w:right w:val="none" w:sz="0" w:space="0" w:color="auto"/>
          </w:divBdr>
        </w:div>
        <w:div w:id="361175918">
          <w:marLeft w:val="792"/>
          <w:marRight w:val="0"/>
          <w:marTop w:val="120"/>
          <w:marBottom w:val="0"/>
          <w:divBdr>
            <w:top w:val="none" w:sz="0" w:space="0" w:color="auto"/>
            <w:left w:val="none" w:sz="0" w:space="0" w:color="auto"/>
            <w:bottom w:val="none" w:sz="0" w:space="0" w:color="auto"/>
            <w:right w:val="none" w:sz="0" w:space="0" w:color="auto"/>
          </w:divBdr>
        </w:div>
      </w:divsChild>
    </w:div>
    <w:div w:id="1757243456">
      <w:bodyDiv w:val="1"/>
      <w:marLeft w:val="0"/>
      <w:marRight w:val="0"/>
      <w:marTop w:val="0"/>
      <w:marBottom w:val="0"/>
      <w:divBdr>
        <w:top w:val="none" w:sz="0" w:space="0" w:color="auto"/>
        <w:left w:val="none" w:sz="0" w:space="0" w:color="auto"/>
        <w:bottom w:val="none" w:sz="0" w:space="0" w:color="auto"/>
        <w:right w:val="none" w:sz="0" w:space="0" w:color="auto"/>
      </w:divBdr>
    </w:div>
    <w:div w:id="18887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international/compilation-human-research-standards/index.html" TargetMode="External"/><Relationship Id="rId13" Type="http://schemas.openxmlformats.org/officeDocument/2006/relationships/hyperlink" Target="https://www.hhs.gov/ohrp/international/compilation-human-research-standards/index.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hhs.gov/ohrp/regulations-and-policy/belmont-report/index.html" TargetMode="External"/><Relationship Id="rId12" Type="http://schemas.openxmlformats.org/officeDocument/2006/relationships/hyperlink" Target="https://research.cuanschutz.edu/crs/clinical-research-support/clinical-research-administration/research-agreements" TargetMode="External"/><Relationship Id="rId17" Type="http://schemas.openxmlformats.org/officeDocument/2006/relationships/hyperlink" Target="https://research.cuanschutz.edu/comirb/home/va-denv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hs.gov/ohrp/international/compilation-human-research-standards/index.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denver.edu/academics/internationalprograms/oia/operations/travel/Pages/default.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hrp.cit.nih.gov/search/search.aspx?styp=bsc" TargetMode="External"/><Relationship Id="rId23" Type="http://schemas.openxmlformats.org/officeDocument/2006/relationships/footer" Target="footer3.xml"/><Relationship Id="rId10" Type="http://schemas.openxmlformats.org/officeDocument/2006/relationships/hyperlink" Target="https://www.ucdenver.edu/academics/internationalprograms/oia/Pages/default.asp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research.cuanschutz.edu/docs/librariesprovider148/comirb_documents/guidance/gdpr-guidance.pdf?sfvrsn=a2172fb9_4" TargetMode="External"/><Relationship Id="rId14" Type="http://schemas.openxmlformats.org/officeDocument/2006/relationships/hyperlink" Target="https://www.hhs.gov/ohrp/international/index.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John</dc:creator>
  <cp:keywords/>
  <dc:description/>
  <cp:lastModifiedBy>Melissa Smith</cp:lastModifiedBy>
  <cp:revision>2</cp:revision>
  <dcterms:created xsi:type="dcterms:W3CDTF">2021-09-27T17:39:00Z</dcterms:created>
  <dcterms:modified xsi:type="dcterms:W3CDTF">2021-09-27T17:39:00Z</dcterms:modified>
</cp:coreProperties>
</file>