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463F7" w14:textId="712BAC0B" w:rsidR="00B504E1" w:rsidRPr="00B504E1" w:rsidRDefault="00505260" w:rsidP="00B504E1">
      <w:pPr>
        <w:spacing w:after="0" w:line="240" w:lineRule="auto"/>
        <w:jc w:val="center"/>
        <w:rPr>
          <w:rFonts w:ascii="Calibri" w:eastAsia="Calibri" w:hAnsi="Calibri" w:cs="Times New Roman"/>
          <w:b/>
          <w:sz w:val="28"/>
          <w:szCs w:val="24"/>
        </w:rPr>
      </w:pPr>
      <w:r>
        <w:rPr>
          <w:noProof/>
        </w:rPr>
        <w:drawing>
          <wp:anchor distT="0" distB="0" distL="114300" distR="114300" simplePos="0" relativeHeight="251659264" behindDoc="0" locked="0" layoutInCell="1" allowOverlap="1" wp14:anchorId="516C9DB2" wp14:editId="4EEA9C04">
            <wp:simplePos x="0" y="0"/>
            <wp:positionH relativeFrom="column">
              <wp:posOffset>-293370</wp:posOffset>
            </wp:positionH>
            <wp:positionV relativeFrom="paragraph">
              <wp:posOffset>141936</wp:posOffset>
            </wp:positionV>
            <wp:extent cx="2171700" cy="323850"/>
            <wp:effectExtent l="0" t="0" r="0" b="0"/>
            <wp:wrapTight wrapText="bothSides">
              <wp:wrapPolygon edited="0">
                <wp:start x="0" y="0"/>
                <wp:lineTo x="0" y="20329"/>
                <wp:lineTo x="7011" y="20329"/>
                <wp:lineTo x="20084" y="20329"/>
                <wp:lineTo x="21411" y="20329"/>
                <wp:lineTo x="21411" y="6353"/>
                <wp:lineTo x="2274"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323850"/>
                    </a:xfrm>
                    <a:prstGeom prst="rect">
                      <a:avLst/>
                    </a:prstGeom>
                    <a:noFill/>
                    <a:ln>
                      <a:noFill/>
                    </a:ln>
                  </pic:spPr>
                </pic:pic>
              </a:graphicData>
            </a:graphic>
          </wp:anchor>
        </w:drawing>
      </w:r>
      <w:r w:rsidR="00DC19AB">
        <w:rPr>
          <w:rFonts w:ascii="Calibri" w:eastAsia="Calibri" w:hAnsi="Calibri" w:cs="Times New Roman"/>
          <w:b/>
          <w:sz w:val="28"/>
          <w:szCs w:val="24"/>
        </w:rPr>
        <w:t>HIPAA</w:t>
      </w:r>
      <w:r w:rsidR="00EC2C92">
        <w:rPr>
          <w:rFonts w:ascii="Calibri" w:eastAsia="Calibri" w:hAnsi="Calibri" w:cs="Times New Roman"/>
          <w:b/>
          <w:sz w:val="28"/>
          <w:szCs w:val="24"/>
        </w:rPr>
        <w:t xml:space="preserve"> 101 </w:t>
      </w:r>
      <w:r w:rsidR="001D0078">
        <w:rPr>
          <w:rFonts w:ascii="Calibri" w:eastAsia="Calibri" w:hAnsi="Calibri" w:cs="Times New Roman"/>
          <w:b/>
          <w:sz w:val="28"/>
          <w:szCs w:val="24"/>
        </w:rPr>
        <w:t>– Tip Sheet</w:t>
      </w:r>
    </w:p>
    <w:p w14:paraId="0FDC056D" w14:textId="77777777" w:rsidR="00505260" w:rsidRDefault="00B504E1" w:rsidP="00B504E1">
      <w:pPr>
        <w:pBdr>
          <w:bottom w:val="single" w:sz="12" w:space="1" w:color="auto"/>
        </w:pBdr>
        <w:spacing w:after="0" w:line="240" w:lineRule="auto"/>
        <w:jc w:val="center"/>
        <w:rPr>
          <w:rFonts w:ascii="Calibri" w:eastAsia="Calibri" w:hAnsi="Calibri" w:cs="Times New Roman"/>
          <w:b/>
          <w:sz w:val="28"/>
          <w:szCs w:val="24"/>
        </w:rPr>
      </w:pPr>
      <w:r w:rsidRPr="00B504E1">
        <w:rPr>
          <w:rFonts w:ascii="Calibri" w:eastAsia="Calibri" w:hAnsi="Calibri" w:cs="Times New Roman"/>
          <w:b/>
          <w:sz w:val="28"/>
          <w:szCs w:val="24"/>
        </w:rPr>
        <w:t>University of Colorado Denver | Anschutz Medical Campus</w:t>
      </w:r>
    </w:p>
    <w:p w14:paraId="06C8E278" w14:textId="77777777" w:rsidR="00B504E1" w:rsidRDefault="00B504E1" w:rsidP="00505260">
      <w:pPr>
        <w:spacing w:after="0" w:line="240" w:lineRule="auto"/>
        <w:rPr>
          <w:rFonts w:ascii="Calibri" w:eastAsia="Calibri" w:hAnsi="Calibri" w:cs="Times New Roman"/>
          <w:sz w:val="24"/>
          <w:szCs w:val="24"/>
        </w:rPr>
      </w:pPr>
    </w:p>
    <w:p w14:paraId="77CD5BEA" w14:textId="0B1D44C1" w:rsidR="003A0E95" w:rsidRDefault="00EC2C92" w:rsidP="00072AA1">
      <w:pPr>
        <w:spacing w:after="0" w:line="240" w:lineRule="auto"/>
        <w:rPr>
          <w:rFonts w:ascii="Calibri" w:eastAsia="Calibri" w:hAnsi="Calibri" w:cs="Times New Roman"/>
        </w:rPr>
      </w:pPr>
      <w:r>
        <w:rPr>
          <w:rFonts w:ascii="Calibri" w:eastAsia="Calibri" w:hAnsi="Calibri" w:cs="Times New Roman"/>
          <w:b/>
        </w:rPr>
        <w:t>HIPAA (Health Insurance Portability and Accountability Act</w:t>
      </w:r>
      <w:r w:rsidR="0092380E">
        <w:rPr>
          <w:rFonts w:ascii="Calibri" w:eastAsia="Calibri" w:hAnsi="Calibri" w:cs="Times New Roman"/>
          <w:b/>
        </w:rPr>
        <w:t>)</w:t>
      </w:r>
      <w:r>
        <w:rPr>
          <w:rFonts w:ascii="Calibri" w:eastAsia="Calibri" w:hAnsi="Calibri" w:cs="Times New Roman"/>
          <w:b/>
        </w:rPr>
        <w:t>.</w:t>
      </w:r>
      <w:r>
        <w:rPr>
          <w:rFonts w:ascii="Calibri" w:eastAsia="Calibri" w:hAnsi="Calibri" w:cs="Times New Roman"/>
        </w:rPr>
        <w:t xml:space="preserve">  </w:t>
      </w:r>
      <w:r w:rsidR="003A0E95">
        <w:rPr>
          <w:rFonts w:ascii="Calibri" w:eastAsia="Calibri" w:hAnsi="Calibri" w:cs="Times New Roman"/>
        </w:rPr>
        <w:t>HIPAA, as amended by the Health Information Technology for Economic and Clinical Health Act (HITECH), is a</w:t>
      </w:r>
      <w:r w:rsidRPr="00EC2C92">
        <w:rPr>
          <w:rFonts w:ascii="Calibri" w:eastAsia="Calibri" w:hAnsi="Calibri" w:cs="Times New Roman"/>
        </w:rPr>
        <w:t xml:space="preserve"> United States law designed to </w:t>
      </w:r>
      <w:r w:rsidR="003A0E95">
        <w:rPr>
          <w:rFonts w:ascii="Calibri" w:eastAsia="Calibri" w:hAnsi="Calibri" w:cs="Times New Roman"/>
        </w:rPr>
        <w:t>improve the portability and continuity of health care coverage, standardize health care transactions and implement requirements surrounding health information privacy and security.  In general, HIPAA addresses Protected Health Information (PHI) that is maintained or transmitted by a covered entity.</w:t>
      </w:r>
    </w:p>
    <w:p w14:paraId="2E285DB9" w14:textId="77777777" w:rsidR="003A0E95" w:rsidRDefault="003A0E95" w:rsidP="00072AA1">
      <w:pPr>
        <w:spacing w:after="0" w:line="240" w:lineRule="auto"/>
        <w:rPr>
          <w:rFonts w:ascii="Calibri" w:eastAsia="Calibri" w:hAnsi="Calibri" w:cs="Times New Roman"/>
        </w:rPr>
      </w:pPr>
    </w:p>
    <w:p w14:paraId="4CB9A8A3" w14:textId="3B68125B" w:rsidR="002F0217" w:rsidRDefault="002F0217" w:rsidP="0092380E">
      <w:pPr>
        <w:spacing w:after="0" w:line="240" w:lineRule="auto"/>
        <w:rPr>
          <w:rFonts w:ascii="Calibri" w:eastAsia="Calibri" w:hAnsi="Calibri" w:cs="Times New Roman"/>
        </w:rPr>
      </w:pPr>
      <w:r>
        <w:rPr>
          <w:rFonts w:ascii="Calibri" w:eastAsia="Calibri" w:hAnsi="Calibri" w:cs="Times New Roman"/>
          <w:b/>
        </w:rPr>
        <w:t>Covered Entity.</w:t>
      </w:r>
      <w:r>
        <w:rPr>
          <w:rFonts w:ascii="Calibri" w:eastAsia="Calibri" w:hAnsi="Calibri" w:cs="Times New Roman"/>
        </w:rPr>
        <w:t xml:space="preserve">  </w:t>
      </w:r>
      <w:r w:rsidR="00701A24" w:rsidRPr="00701A24">
        <w:rPr>
          <w:rFonts w:ascii="Calibri" w:eastAsia="Calibri" w:hAnsi="Calibri" w:cs="Times New Roman"/>
        </w:rPr>
        <w:t xml:space="preserve">Covered </w:t>
      </w:r>
      <w:r w:rsidR="003D6E63">
        <w:rPr>
          <w:rFonts w:ascii="Calibri" w:eastAsia="Calibri" w:hAnsi="Calibri" w:cs="Times New Roman"/>
        </w:rPr>
        <w:t>E</w:t>
      </w:r>
      <w:r w:rsidR="00701A24" w:rsidRPr="00701A24">
        <w:rPr>
          <w:rFonts w:ascii="Calibri" w:eastAsia="Calibri" w:hAnsi="Calibri" w:cs="Times New Roman"/>
        </w:rPr>
        <w:t xml:space="preserve">ntities are defined in </w:t>
      </w:r>
      <w:r w:rsidR="00EC2C92">
        <w:rPr>
          <w:rFonts w:ascii="Calibri" w:eastAsia="Calibri" w:hAnsi="Calibri" w:cs="Times New Roman"/>
        </w:rPr>
        <w:t xml:space="preserve">HIPAA </w:t>
      </w:r>
      <w:r w:rsidR="00701A24" w:rsidRPr="00701A24">
        <w:rPr>
          <w:rFonts w:ascii="Calibri" w:eastAsia="Calibri" w:hAnsi="Calibri" w:cs="Times New Roman"/>
        </w:rPr>
        <w:t xml:space="preserve">as (1) health plans, (2) </w:t>
      </w:r>
      <w:r w:rsidR="0092380E">
        <w:rPr>
          <w:rFonts w:ascii="Calibri" w:eastAsia="Calibri" w:hAnsi="Calibri" w:cs="Times New Roman"/>
        </w:rPr>
        <w:t xml:space="preserve">health care providers and (3) </w:t>
      </w:r>
      <w:r w:rsidR="00701A24" w:rsidRPr="00701A24">
        <w:rPr>
          <w:rFonts w:ascii="Calibri" w:eastAsia="Calibri" w:hAnsi="Calibri" w:cs="Times New Roman"/>
        </w:rPr>
        <w:t xml:space="preserve">health care clearinghouses </w:t>
      </w:r>
      <w:r w:rsidR="0092380E">
        <w:rPr>
          <w:rFonts w:ascii="Calibri" w:eastAsia="Calibri" w:hAnsi="Calibri" w:cs="Times New Roman"/>
        </w:rPr>
        <w:t>(</w:t>
      </w:r>
      <w:r w:rsidR="0092380E" w:rsidRPr="0092380E">
        <w:rPr>
          <w:rFonts w:ascii="Calibri" w:eastAsia="Calibri" w:hAnsi="Calibri" w:cs="Times New Roman"/>
        </w:rPr>
        <w:t>entities that process</w:t>
      </w:r>
      <w:r w:rsidR="0092380E">
        <w:rPr>
          <w:rFonts w:ascii="Calibri" w:eastAsia="Calibri" w:hAnsi="Calibri" w:cs="Times New Roman"/>
        </w:rPr>
        <w:t xml:space="preserve"> </w:t>
      </w:r>
      <w:r w:rsidR="0092380E" w:rsidRPr="0092380E">
        <w:rPr>
          <w:rFonts w:ascii="Calibri" w:eastAsia="Calibri" w:hAnsi="Calibri" w:cs="Times New Roman"/>
        </w:rPr>
        <w:t>nonstandard information they receive from another entity into a standard format or data content, or vice versa</w:t>
      </w:r>
      <w:r w:rsidR="0092380E">
        <w:rPr>
          <w:rFonts w:ascii="Calibri" w:eastAsia="Calibri" w:hAnsi="Calibri" w:cs="Times New Roman"/>
        </w:rPr>
        <w:t xml:space="preserve">) </w:t>
      </w:r>
      <w:r w:rsidR="00701A24" w:rsidRPr="00701A24">
        <w:rPr>
          <w:rFonts w:ascii="Calibri" w:eastAsia="Calibri" w:hAnsi="Calibri" w:cs="Times New Roman"/>
        </w:rPr>
        <w:t>who electronically transmit any health information in connection with transactions for which HHS has adopted standards.</w:t>
      </w:r>
      <w:r w:rsidR="000C3D7C">
        <w:rPr>
          <w:rFonts w:ascii="Calibri" w:eastAsia="Calibri" w:hAnsi="Calibri" w:cs="Times New Roman"/>
        </w:rPr>
        <w:t xml:space="preserve">  HIPAA applies to Covered Entities.</w:t>
      </w:r>
    </w:p>
    <w:p w14:paraId="581E7B28" w14:textId="77777777" w:rsidR="002F0217" w:rsidRDefault="002F0217" w:rsidP="00072AA1">
      <w:pPr>
        <w:spacing w:after="0" w:line="240" w:lineRule="auto"/>
        <w:rPr>
          <w:rFonts w:ascii="Calibri" w:eastAsia="Calibri" w:hAnsi="Calibri" w:cs="Times New Roman"/>
        </w:rPr>
      </w:pPr>
    </w:p>
    <w:p w14:paraId="0CCD491F" w14:textId="565307DE" w:rsidR="002F0217" w:rsidRPr="002F0217" w:rsidRDefault="002F0217" w:rsidP="00DF57A0">
      <w:pPr>
        <w:spacing w:after="0" w:line="240" w:lineRule="auto"/>
        <w:ind w:left="720"/>
        <w:rPr>
          <w:rFonts w:ascii="Calibri" w:eastAsia="Calibri" w:hAnsi="Calibri" w:cs="Times New Roman"/>
        </w:rPr>
      </w:pPr>
      <w:r w:rsidRPr="002F0217">
        <w:rPr>
          <w:rFonts w:ascii="Calibri" w:eastAsia="Calibri" w:hAnsi="Calibri" w:cs="Times New Roman"/>
          <w:b/>
        </w:rPr>
        <w:t>Hybrid Entity.</w:t>
      </w:r>
      <w:r w:rsidR="00701A24">
        <w:rPr>
          <w:rFonts w:ascii="Calibri" w:eastAsia="Calibri" w:hAnsi="Calibri" w:cs="Times New Roman"/>
        </w:rPr>
        <w:t xml:space="preserve">  </w:t>
      </w:r>
      <w:r w:rsidR="00701A24" w:rsidRPr="00701A24">
        <w:rPr>
          <w:rFonts w:ascii="Calibri" w:eastAsia="Calibri" w:hAnsi="Calibri" w:cs="Times New Roman"/>
        </w:rPr>
        <w:t xml:space="preserve">A single legal entity that conducts both covered and non-covered functions and designates certain health care components as covered functions </w:t>
      </w:r>
      <w:r w:rsidR="000C3D7C">
        <w:rPr>
          <w:rFonts w:ascii="Calibri" w:eastAsia="Calibri" w:hAnsi="Calibri" w:cs="Times New Roman"/>
        </w:rPr>
        <w:t xml:space="preserve">– </w:t>
      </w:r>
      <w:r w:rsidR="0092380E">
        <w:rPr>
          <w:rFonts w:ascii="Calibri" w:eastAsia="Calibri" w:hAnsi="Calibri" w:cs="Times New Roman"/>
        </w:rPr>
        <w:t xml:space="preserve">resulting </w:t>
      </w:r>
      <w:r w:rsidR="000C3D7C">
        <w:rPr>
          <w:rFonts w:ascii="Calibri" w:eastAsia="Calibri" w:hAnsi="Calibri" w:cs="Times New Roman"/>
        </w:rPr>
        <w:t xml:space="preserve">in </w:t>
      </w:r>
      <w:r w:rsidR="0092380E">
        <w:rPr>
          <w:rFonts w:ascii="Calibri" w:eastAsia="Calibri" w:hAnsi="Calibri" w:cs="Times New Roman"/>
        </w:rPr>
        <w:t xml:space="preserve">those functions of </w:t>
      </w:r>
      <w:r w:rsidR="000C3D7C">
        <w:rPr>
          <w:rFonts w:ascii="Calibri" w:eastAsia="Calibri" w:hAnsi="Calibri" w:cs="Times New Roman"/>
        </w:rPr>
        <w:t xml:space="preserve">the entity </w:t>
      </w:r>
      <w:r w:rsidR="0092380E">
        <w:rPr>
          <w:rFonts w:ascii="Calibri" w:eastAsia="Calibri" w:hAnsi="Calibri" w:cs="Times New Roman"/>
        </w:rPr>
        <w:t xml:space="preserve">being subject to </w:t>
      </w:r>
      <w:r w:rsidR="000C3D7C">
        <w:rPr>
          <w:rFonts w:ascii="Calibri" w:eastAsia="Calibri" w:hAnsi="Calibri" w:cs="Times New Roman"/>
        </w:rPr>
        <w:t>HIPAA</w:t>
      </w:r>
      <w:r w:rsidR="00701A24" w:rsidRPr="00701A24">
        <w:rPr>
          <w:rFonts w:ascii="Calibri" w:eastAsia="Calibri" w:hAnsi="Calibri" w:cs="Times New Roman"/>
        </w:rPr>
        <w:t>.</w:t>
      </w:r>
      <w:r w:rsidR="005F46EB">
        <w:rPr>
          <w:rFonts w:ascii="Calibri" w:eastAsia="Calibri" w:hAnsi="Calibri" w:cs="Times New Roman"/>
        </w:rPr>
        <w:t xml:space="preserve">  </w:t>
      </w:r>
      <w:r w:rsidR="005F46EB" w:rsidRPr="005F46EB">
        <w:rPr>
          <w:rFonts w:ascii="Calibri" w:eastAsia="Calibri" w:hAnsi="Calibri" w:cs="Times New Roman"/>
          <w:i/>
        </w:rPr>
        <w:t>University of Colorado Denver | Anschutz Medical Campus is a Hybrid Entity.</w:t>
      </w:r>
    </w:p>
    <w:p w14:paraId="09874578" w14:textId="77777777" w:rsidR="002F0217" w:rsidRPr="00661C7D" w:rsidRDefault="002F0217" w:rsidP="00072AA1">
      <w:pPr>
        <w:spacing w:after="0" w:line="240" w:lineRule="auto"/>
        <w:rPr>
          <w:rFonts w:ascii="Calibri" w:eastAsia="Calibri" w:hAnsi="Calibri" w:cs="Times New Roman"/>
        </w:rPr>
      </w:pPr>
    </w:p>
    <w:p w14:paraId="0DCA6F45" w14:textId="77777777" w:rsidR="00661C7D" w:rsidRPr="00661C7D" w:rsidRDefault="00661C7D" w:rsidP="00661C7D">
      <w:pPr>
        <w:spacing w:after="0" w:line="240" w:lineRule="auto"/>
        <w:rPr>
          <w:rFonts w:ascii="Calibri" w:eastAsia="Calibri" w:hAnsi="Calibri" w:cs="Times New Roman"/>
        </w:rPr>
      </w:pPr>
      <w:r w:rsidRPr="00661C7D">
        <w:rPr>
          <w:rFonts w:ascii="Calibri" w:eastAsia="Calibri" w:hAnsi="Calibri" w:cs="Times New Roman"/>
          <w:b/>
        </w:rPr>
        <w:t>PHI (Protected Health Information).</w:t>
      </w:r>
      <w:r w:rsidRPr="00661C7D">
        <w:rPr>
          <w:rFonts w:ascii="Calibri" w:eastAsia="Calibri" w:hAnsi="Calibri" w:cs="Times New Roman"/>
        </w:rPr>
        <w:t xml:space="preserve">  A patient’s information related to… </w:t>
      </w:r>
    </w:p>
    <w:p w14:paraId="2A1B4F9B" w14:textId="491642AF" w:rsidR="00661C7D" w:rsidRPr="00661C7D" w:rsidRDefault="00661C7D" w:rsidP="00661C7D">
      <w:pPr>
        <w:pStyle w:val="ListParagraph"/>
        <w:numPr>
          <w:ilvl w:val="0"/>
          <w:numId w:val="12"/>
        </w:numPr>
        <w:spacing w:after="0" w:line="240" w:lineRule="auto"/>
        <w:rPr>
          <w:rFonts w:ascii="Calibri" w:eastAsia="Calibri" w:hAnsi="Calibri" w:cs="Times New Roman"/>
        </w:rPr>
      </w:pPr>
      <w:r w:rsidRPr="00661C7D">
        <w:rPr>
          <w:rFonts w:ascii="Calibri" w:eastAsia="Calibri" w:hAnsi="Calibri" w:cs="Times New Roman"/>
        </w:rPr>
        <w:t>Past, Present, Future</w:t>
      </w:r>
    </w:p>
    <w:p w14:paraId="74C9C738" w14:textId="760904B8" w:rsidR="00661C7D" w:rsidRPr="00661C7D" w:rsidRDefault="00661C7D" w:rsidP="00661C7D">
      <w:pPr>
        <w:pStyle w:val="ListParagraph"/>
        <w:numPr>
          <w:ilvl w:val="0"/>
          <w:numId w:val="12"/>
        </w:numPr>
        <w:spacing w:after="0" w:line="240" w:lineRule="auto"/>
        <w:rPr>
          <w:rFonts w:ascii="Calibri" w:eastAsia="Calibri" w:hAnsi="Calibri" w:cs="Times New Roman"/>
        </w:rPr>
      </w:pPr>
      <w:r w:rsidRPr="00661C7D">
        <w:rPr>
          <w:rFonts w:ascii="Calibri" w:eastAsia="Calibri" w:hAnsi="Calibri" w:cs="Times New Roman"/>
        </w:rPr>
        <w:t>Mental or Physical Health (or related billing information)</w:t>
      </w:r>
    </w:p>
    <w:p w14:paraId="7BECAE58" w14:textId="5306FC2E" w:rsidR="00661C7D" w:rsidRPr="00661C7D" w:rsidRDefault="00661C7D" w:rsidP="00661C7D">
      <w:pPr>
        <w:pStyle w:val="ListParagraph"/>
        <w:numPr>
          <w:ilvl w:val="0"/>
          <w:numId w:val="12"/>
        </w:numPr>
        <w:spacing w:after="0" w:line="240" w:lineRule="auto"/>
        <w:rPr>
          <w:rFonts w:ascii="Calibri" w:eastAsia="Calibri" w:hAnsi="Calibri" w:cs="Times New Roman"/>
        </w:rPr>
      </w:pPr>
      <w:r w:rsidRPr="00661C7D">
        <w:rPr>
          <w:rFonts w:ascii="Calibri" w:eastAsia="Calibri" w:hAnsi="Calibri" w:cs="Times New Roman"/>
        </w:rPr>
        <w:t>Which can be connected to the individual by one of 18 identifiers (listed below)</w:t>
      </w:r>
    </w:p>
    <w:p w14:paraId="41E961AD" w14:textId="4E055BEF" w:rsidR="00661C7D" w:rsidRPr="00661C7D" w:rsidRDefault="00661C7D" w:rsidP="00661C7D">
      <w:pPr>
        <w:pStyle w:val="ListParagraph"/>
        <w:numPr>
          <w:ilvl w:val="0"/>
          <w:numId w:val="12"/>
        </w:numPr>
        <w:spacing w:after="0" w:line="240" w:lineRule="auto"/>
        <w:rPr>
          <w:rFonts w:ascii="Calibri" w:eastAsia="Calibri" w:hAnsi="Calibri" w:cs="Times New Roman"/>
        </w:rPr>
      </w:pPr>
      <w:r w:rsidRPr="00661C7D">
        <w:rPr>
          <w:rFonts w:ascii="Calibri" w:eastAsia="Calibri" w:hAnsi="Calibri" w:cs="Times New Roman"/>
        </w:rPr>
        <w:t>And which can come in all forms – including oral, written, electronic, etc.</w:t>
      </w:r>
    </w:p>
    <w:p w14:paraId="74FFA610" w14:textId="1610853E" w:rsidR="00661C7D" w:rsidRDefault="00661C7D" w:rsidP="00661C7D">
      <w:pPr>
        <w:spacing w:after="0" w:line="240" w:lineRule="auto"/>
        <w:ind w:left="720"/>
        <w:rPr>
          <w:rFonts w:ascii="Calibri" w:eastAsia="Calibri" w:hAnsi="Calibri" w:cs="Times New Roman"/>
          <w:i/>
        </w:rPr>
      </w:pPr>
      <w:r w:rsidRPr="00661C7D">
        <w:rPr>
          <w:rFonts w:ascii="Calibri" w:eastAsia="Calibri" w:hAnsi="Calibri" w:cs="Times New Roman"/>
          <w:i/>
        </w:rPr>
        <w:t>Excludes employment records and education records (HR/FERPA)</w:t>
      </w:r>
    </w:p>
    <w:p w14:paraId="5C4817A2" w14:textId="77777777" w:rsidR="006643B2" w:rsidRDefault="006643B2" w:rsidP="00661C7D">
      <w:pPr>
        <w:spacing w:after="0" w:line="240" w:lineRule="auto"/>
        <w:ind w:left="720"/>
        <w:rPr>
          <w:rFonts w:ascii="Calibri" w:eastAsia="Calibri" w:hAnsi="Calibri" w:cs="Times New Roman"/>
          <w:i/>
        </w:rPr>
      </w:pPr>
    </w:p>
    <w:p w14:paraId="54BF8009" w14:textId="1E76BFE0" w:rsidR="006643B2" w:rsidRDefault="006643B2" w:rsidP="006643B2">
      <w:pPr>
        <w:spacing w:after="0" w:line="240" w:lineRule="auto"/>
        <w:rPr>
          <w:rFonts w:ascii="Calibri" w:eastAsia="Calibri" w:hAnsi="Calibri" w:cs="Times New Roman"/>
        </w:rPr>
      </w:pPr>
      <w:r>
        <w:rPr>
          <w:rFonts w:ascii="Calibri" w:eastAsia="Calibri" w:hAnsi="Calibri" w:cs="Times New Roman"/>
        </w:rPr>
        <w:t xml:space="preserve">PHI can be shared </w:t>
      </w:r>
      <w:r w:rsidRPr="006643B2">
        <w:rPr>
          <w:rFonts w:ascii="Calibri" w:eastAsia="Calibri" w:hAnsi="Calibri" w:cs="Times New Roman"/>
          <w:u w:val="single"/>
        </w:rPr>
        <w:t>without</w:t>
      </w:r>
      <w:r>
        <w:rPr>
          <w:rFonts w:ascii="Calibri" w:eastAsia="Calibri" w:hAnsi="Calibri" w:cs="Times New Roman"/>
        </w:rPr>
        <w:t xml:space="preserve"> a patient’s authorization for purposes of:</w:t>
      </w:r>
    </w:p>
    <w:p w14:paraId="153B4946" w14:textId="1A487C8B" w:rsidR="006643B2" w:rsidRDefault="006643B2" w:rsidP="006643B2">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sidRPr="006643B2">
        <w:rPr>
          <w:rFonts w:ascii="Calibri" w:eastAsia="Calibri" w:hAnsi="Calibri" w:cs="Times New Roman"/>
          <w:b/>
        </w:rPr>
        <w:t>T</w:t>
      </w:r>
      <w:r>
        <w:rPr>
          <w:rFonts w:ascii="Calibri" w:eastAsia="Calibri" w:hAnsi="Calibri" w:cs="Times New Roman"/>
        </w:rPr>
        <w:t>-reatment</w:t>
      </w:r>
    </w:p>
    <w:p w14:paraId="7002AB7C" w14:textId="1E9D04F3" w:rsidR="006643B2" w:rsidRDefault="006643B2" w:rsidP="006643B2">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Pr>
          <w:rFonts w:ascii="Calibri" w:eastAsia="Calibri" w:hAnsi="Calibri" w:cs="Times New Roman"/>
        </w:rPr>
        <w:tab/>
        <w:t xml:space="preserve">       </w:t>
      </w:r>
      <w:r w:rsidRPr="006643B2">
        <w:rPr>
          <w:rFonts w:ascii="Calibri" w:eastAsia="Calibri" w:hAnsi="Calibri" w:cs="Times New Roman"/>
          <w:b/>
        </w:rPr>
        <w:t>P</w:t>
      </w:r>
      <w:r>
        <w:rPr>
          <w:rFonts w:ascii="Calibri" w:eastAsia="Calibri" w:hAnsi="Calibri" w:cs="Times New Roman"/>
        </w:rPr>
        <w:t>-ayment</w:t>
      </w:r>
    </w:p>
    <w:p w14:paraId="67AC5F36" w14:textId="40410201" w:rsidR="006643B2" w:rsidRPr="006643B2" w:rsidRDefault="006643B2" w:rsidP="006643B2">
      <w:pPr>
        <w:spacing w:after="0" w:line="240" w:lineRule="auto"/>
        <w:ind w:left="1440" w:firstLine="720"/>
        <w:rPr>
          <w:rFonts w:ascii="Calibri" w:eastAsia="Calibri" w:hAnsi="Calibri" w:cs="Times New Roman"/>
        </w:rPr>
      </w:pPr>
      <w:r>
        <w:rPr>
          <w:rFonts w:ascii="Calibri" w:eastAsia="Calibri" w:hAnsi="Calibri" w:cs="Times New Roman"/>
        </w:rPr>
        <w:t xml:space="preserve">Healthcare </w:t>
      </w:r>
      <w:r w:rsidRPr="006643B2">
        <w:rPr>
          <w:rFonts w:ascii="Calibri" w:eastAsia="Calibri" w:hAnsi="Calibri" w:cs="Times New Roman"/>
          <w:b/>
        </w:rPr>
        <w:t>O</w:t>
      </w:r>
      <w:r>
        <w:rPr>
          <w:rFonts w:ascii="Calibri" w:eastAsia="Calibri" w:hAnsi="Calibri" w:cs="Times New Roman"/>
        </w:rPr>
        <w:t>-perations</w:t>
      </w:r>
    </w:p>
    <w:p w14:paraId="0E92B405" w14:textId="77777777" w:rsidR="00661C7D" w:rsidRDefault="00661C7D" w:rsidP="00072AA1">
      <w:pPr>
        <w:spacing w:after="0" w:line="240" w:lineRule="auto"/>
        <w:rPr>
          <w:rFonts w:ascii="Calibri" w:eastAsia="Calibri" w:hAnsi="Calibri" w:cs="Times New Roman"/>
          <w:b/>
        </w:rPr>
      </w:pPr>
    </w:p>
    <w:p w14:paraId="0F64A4CB" w14:textId="6CB40887" w:rsidR="00661C7D" w:rsidRDefault="00661C7D" w:rsidP="00072AA1">
      <w:pPr>
        <w:spacing w:after="0" w:line="240" w:lineRule="auto"/>
        <w:rPr>
          <w:rFonts w:ascii="Calibri" w:eastAsia="Calibri" w:hAnsi="Calibri" w:cs="Times New Roman"/>
          <w:b/>
        </w:rPr>
      </w:pPr>
      <w:r w:rsidRPr="00661C7D">
        <w:rPr>
          <w:rFonts w:ascii="Calibri" w:eastAsia="Calibri" w:hAnsi="Calibri" w:cs="Times New Roman"/>
          <w:b/>
          <w:u w:val="single"/>
        </w:rPr>
        <w:t>18 Identifiers</w:t>
      </w:r>
      <w:r>
        <w:rPr>
          <w:rFonts w:ascii="Calibri" w:eastAsia="Calibri" w:hAnsi="Calibri" w:cs="Times New Roman"/>
          <w:b/>
        </w:rPr>
        <w:t xml:space="preserve"> which can connect an individual to their PHI, making it identifiable.</w:t>
      </w:r>
    </w:p>
    <w:p w14:paraId="51B80CC4" w14:textId="0055A168" w:rsidR="00661C7D" w:rsidRPr="001F6C26" w:rsidRDefault="005A3A61" w:rsidP="001F6C26">
      <w:pPr>
        <w:spacing w:after="0" w:line="240" w:lineRule="auto"/>
        <w:ind w:left="720"/>
        <w:rPr>
          <w:rFonts w:ascii="Calibri" w:eastAsia="Calibri" w:hAnsi="Calibri" w:cs="Times New Roman"/>
          <w:i/>
        </w:rPr>
      </w:pPr>
      <w:r>
        <w:rPr>
          <w:rFonts w:ascii="Calibri" w:eastAsia="Calibri" w:hAnsi="Calibri" w:cs="Times New Roman"/>
          <w:i/>
        </w:rPr>
        <w:t>F</w:t>
      </w:r>
      <w:r w:rsidR="00661C7D" w:rsidRPr="001F6C26">
        <w:rPr>
          <w:rFonts w:ascii="Calibri" w:eastAsia="Calibri" w:hAnsi="Calibri" w:cs="Times New Roman"/>
          <w:i/>
        </w:rPr>
        <w:t>irst, important reminders</w:t>
      </w:r>
      <w:r w:rsidR="001F6C26" w:rsidRPr="001F6C26">
        <w:rPr>
          <w:rFonts w:ascii="Calibri" w:eastAsia="Calibri" w:hAnsi="Calibri" w:cs="Times New Roman"/>
          <w:i/>
        </w:rPr>
        <w:t xml:space="preserve"> – </w:t>
      </w:r>
    </w:p>
    <w:p w14:paraId="292FE476" w14:textId="5C290D27" w:rsidR="00661C7D" w:rsidRPr="005A3A61" w:rsidRDefault="00661C7D" w:rsidP="005A3A61">
      <w:pPr>
        <w:pStyle w:val="ListParagraph"/>
        <w:numPr>
          <w:ilvl w:val="0"/>
          <w:numId w:val="14"/>
        </w:numPr>
        <w:spacing w:after="0" w:line="240" w:lineRule="auto"/>
        <w:rPr>
          <w:rFonts w:ascii="Calibri" w:eastAsia="Calibri" w:hAnsi="Calibri" w:cs="Times New Roman"/>
          <w:i/>
        </w:rPr>
      </w:pPr>
      <w:r>
        <w:rPr>
          <w:rFonts w:ascii="Calibri" w:eastAsia="Calibri" w:hAnsi="Calibri" w:cs="Times New Roman"/>
          <w:i/>
        </w:rPr>
        <w:t xml:space="preserve">Remember, per the definition above, PHI is </w:t>
      </w:r>
      <w:r w:rsidRPr="005A3A61">
        <w:rPr>
          <w:rFonts w:ascii="Calibri" w:eastAsia="Calibri" w:hAnsi="Calibri" w:cs="Times New Roman"/>
          <w:i/>
          <w:u w:val="single"/>
        </w:rPr>
        <w:t>not</w:t>
      </w:r>
      <w:r>
        <w:rPr>
          <w:rFonts w:ascii="Calibri" w:eastAsia="Calibri" w:hAnsi="Calibri" w:cs="Times New Roman"/>
          <w:i/>
        </w:rPr>
        <w:t xml:space="preserve"> limited to these 18 identifiers</w:t>
      </w:r>
    </w:p>
    <w:p w14:paraId="51E6B99A" w14:textId="77777777" w:rsidR="00661C7D" w:rsidRPr="00661C7D" w:rsidRDefault="00661C7D" w:rsidP="00661C7D">
      <w:pPr>
        <w:spacing w:after="0" w:line="240" w:lineRule="auto"/>
        <w:rPr>
          <w:rFonts w:ascii="Calibri" w:eastAsia="Calibri" w:hAnsi="Calibri" w:cs="Times New Roman"/>
        </w:rPr>
      </w:pPr>
      <w:r w:rsidRPr="00661C7D">
        <w:rPr>
          <w:rFonts w:ascii="Calibri" w:eastAsia="Calibri" w:hAnsi="Calibri" w:cs="Times New Roman"/>
        </w:rPr>
        <w:t>1.</w:t>
      </w:r>
      <w:r w:rsidRPr="00661C7D">
        <w:rPr>
          <w:rFonts w:ascii="Calibri" w:eastAsia="Calibri" w:hAnsi="Calibri" w:cs="Times New Roman"/>
        </w:rPr>
        <w:tab/>
        <w:t>Names;</w:t>
      </w:r>
    </w:p>
    <w:p w14:paraId="1B6B2A48" w14:textId="77777777" w:rsidR="00661C7D" w:rsidRPr="00661C7D" w:rsidRDefault="00661C7D" w:rsidP="0024759F">
      <w:pPr>
        <w:spacing w:after="0" w:line="240" w:lineRule="auto"/>
        <w:ind w:left="720" w:hanging="720"/>
        <w:rPr>
          <w:rFonts w:ascii="Calibri" w:eastAsia="Calibri" w:hAnsi="Calibri" w:cs="Times New Roman"/>
        </w:rPr>
      </w:pPr>
      <w:r w:rsidRPr="00661C7D">
        <w:rPr>
          <w:rFonts w:ascii="Calibri" w:eastAsia="Calibri" w:hAnsi="Calibri" w:cs="Times New Roman"/>
        </w:rPr>
        <w:t>2.</w:t>
      </w:r>
      <w:r w:rsidRPr="00661C7D">
        <w:rPr>
          <w:rFonts w:ascii="Calibri" w:eastAsia="Calibri" w:hAnsi="Calibri" w:cs="Times New Roman"/>
        </w:rPr>
        <w:tab/>
        <w:t>All geographical subdivisions smaller than a State, including street address, city, county,  precinct, zip code, and their equivalent geocodes, except for the initial three digits of a zip  code, if according to the current publicly available data from the Bureau of the Census: (1)  The geographic unit formed by combining all zip codes with the same three initial digits  contains more than 20,000 people; and (2) The initial three digits of a zip code for all such  geographic units containing 20,000 or fewer people is changed to 000;</w:t>
      </w:r>
    </w:p>
    <w:p w14:paraId="7941BDC1" w14:textId="77777777" w:rsidR="00661C7D" w:rsidRPr="00661C7D" w:rsidRDefault="00661C7D" w:rsidP="0024759F">
      <w:pPr>
        <w:spacing w:after="0" w:line="240" w:lineRule="auto"/>
        <w:ind w:left="720" w:hanging="720"/>
        <w:rPr>
          <w:rFonts w:ascii="Calibri" w:eastAsia="Calibri" w:hAnsi="Calibri" w:cs="Times New Roman"/>
        </w:rPr>
      </w:pPr>
      <w:r w:rsidRPr="00661C7D">
        <w:rPr>
          <w:rFonts w:ascii="Calibri" w:eastAsia="Calibri" w:hAnsi="Calibri" w:cs="Times New Roman"/>
        </w:rPr>
        <w:t>3.</w:t>
      </w:r>
      <w:r w:rsidRPr="00661C7D">
        <w:rPr>
          <w:rFonts w:ascii="Calibri" w:eastAsia="Calibri" w:hAnsi="Calibri" w:cs="Times New Roman"/>
        </w:rPr>
        <w:tab/>
        <w:t>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p w14:paraId="6A199EC1" w14:textId="77777777" w:rsidR="00661C7D" w:rsidRPr="00661C7D" w:rsidRDefault="00661C7D" w:rsidP="00661C7D">
      <w:pPr>
        <w:spacing w:after="0" w:line="240" w:lineRule="auto"/>
        <w:rPr>
          <w:rFonts w:ascii="Calibri" w:eastAsia="Calibri" w:hAnsi="Calibri" w:cs="Times New Roman"/>
        </w:rPr>
      </w:pPr>
      <w:r w:rsidRPr="00661C7D">
        <w:rPr>
          <w:rFonts w:ascii="Calibri" w:eastAsia="Calibri" w:hAnsi="Calibri" w:cs="Times New Roman"/>
        </w:rPr>
        <w:t>4.</w:t>
      </w:r>
      <w:r w:rsidRPr="00661C7D">
        <w:rPr>
          <w:rFonts w:ascii="Calibri" w:eastAsia="Calibri" w:hAnsi="Calibri" w:cs="Times New Roman"/>
        </w:rPr>
        <w:tab/>
        <w:t>Telephone numbers;</w:t>
      </w:r>
    </w:p>
    <w:p w14:paraId="73EC45E0" w14:textId="77777777" w:rsidR="00661C7D" w:rsidRPr="00661C7D" w:rsidRDefault="00661C7D" w:rsidP="00661C7D">
      <w:pPr>
        <w:spacing w:after="0" w:line="240" w:lineRule="auto"/>
        <w:rPr>
          <w:rFonts w:ascii="Calibri" w:eastAsia="Calibri" w:hAnsi="Calibri" w:cs="Times New Roman"/>
        </w:rPr>
      </w:pPr>
      <w:r w:rsidRPr="00661C7D">
        <w:rPr>
          <w:rFonts w:ascii="Calibri" w:eastAsia="Calibri" w:hAnsi="Calibri" w:cs="Times New Roman"/>
        </w:rPr>
        <w:t>5.</w:t>
      </w:r>
      <w:r w:rsidRPr="00661C7D">
        <w:rPr>
          <w:rFonts w:ascii="Calibri" w:eastAsia="Calibri" w:hAnsi="Calibri" w:cs="Times New Roman"/>
        </w:rPr>
        <w:tab/>
        <w:t>Fax numbers;</w:t>
      </w:r>
    </w:p>
    <w:p w14:paraId="4A419491" w14:textId="77777777" w:rsidR="00661C7D" w:rsidRPr="00661C7D" w:rsidRDefault="00661C7D" w:rsidP="00661C7D">
      <w:pPr>
        <w:spacing w:after="0" w:line="240" w:lineRule="auto"/>
        <w:rPr>
          <w:rFonts w:ascii="Calibri" w:eastAsia="Calibri" w:hAnsi="Calibri" w:cs="Times New Roman"/>
        </w:rPr>
      </w:pPr>
      <w:r w:rsidRPr="00661C7D">
        <w:rPr>
          <w:rFonts w:ascii="Calibri" w:eastAsia="Calibri" w:hAnsi="Calibri" w:cs="Times New Roman"/>
        </w:rPr>
        <w:t>6.</w:t>
      </w:r>
      <w:r w:rsidRPr="00661C7D">
        <w:rPr>
          <w:rFonts w:ascii="Calibri" w:eastAsia="Calibri" w:hAnsi="Calibri" w:cs="Times New Roman"/>
        </w:rPr>
        <w:tab/>
        <w:t>E-mail addresses;</w:t>
      </w:r>
    </w:p>
    <w:p w14:paraId="50ED519F" w14:textId="77777777" w:rsidR="00661C7D" w:rsidRPr="00661C7D" w:rsidRDefault="00661C7D" w:rsidP="00661C7D">
      <w:pPr>
        <w:spacing w:after="0" w:line="240" w:lineRule="auto"/>
        <w:rPr>
          <w:rFonts w:ascii="Calibri" w:eastAsia="Calibri" w:hAnsi="Calibri" w:cs="Times New Roman"/>
        </w:rPr>
      </w:pPr>
      <w:r w:rsidRPr="00661C7D">
        <w:rPr>
          <w:rFonts w:ascii="Calibri" w:eastAsia="Calibri" w:hAnsi="Calibri" w:cs="Times New Roman"/>
        </w:rPr>
        <w:t>7.</w:t>
      </w:r>
      <w:r w:rsidRPr="00661C7D">
        <w:rPr>
          <w:rFonts w:ascii="Calibri" w:eastAsia="Calibri" w:hAnsi="Calibri" w:cs="Times New Roman"/>
        </w:rPr>
        <w:tab/>
        <w:t>Social Security numbers;</w:t>
      </w:r>
    </w:p>
    <w:p w14:paraId="3B611D86" w14:textId="77777777" w:rsidR="00661C7D" w:rsidRPr="00661C7D" w:rsidRDefault="00661C7D" w:rsidP="00661C7D">
      <w:pPr>
        <w:spacing w:after="0" w:line="240" w:lineRule="auto"/>
        <w:rPr>
          <w:rFonts w:ascii="Calibri" w:eastAsia="Calibri" w:hAnsi="Calibri" w:cs="Times New Roman"/>
        </w:rPr>
      </w:pPr>
      <w:r w:rsidRPr="00661C7D">
        <w:rPr>
          <w:rFonts w:ascii="Calibri" w:eastAsia="Calibri" w:hAnsi="Calibri" w:cs="Times New Roman"/>
        </w:rPr>
        <w:t>8.</w:t>
      </w:r>
      <w:r w:rsidRPr="00661C7D">
        <w:rPr>
          <w:rFonts w:ascii="Calibri" w:eastAsia="Calibri" w:hAnsi="Calibri" w:cs="Times New Roman"/>
        </w:rPr>
        <w:tab/>
        <w:t>Medical records numbers;</w:t>
      </w:r>
    </w:p>
    <w:p w14:paraId="17B67294" w14:textId="77777777" w:rsidR="00661C7D" w:rsidRPr="00661C7D" w:rsidRDefault="00661C7D" w:rsidP="00661C7D">
      <w:pPr>
        <w:spacing w:after="0" w:line="240" w:lineRule="auto"/>
        <w:rPr>
          <w:rFonts w:ascii="Calibri" w:eastAsia="Calibri" w:hAnsi="Calibri" w:cs="Times New Roman"/>
        </w:rPr>
      </w:pPr>
      <w:r w:rsidRPr="00661C7D">
        <w:rPr>
          <w:rFonts w:ascii="Calibri" w:eastAsia="Calibri" w:hAnsi="Calibri" w:cs="Times New Roman"/>
        </w:rPr>
        <w:t>9.</w:t>
      </w:r>
      <w:r w:rsidRPr="00661C7D">
        <w:rPr>
          <w:rFonts w:ascii="Calibri" w:eastAsia="Calibri" w:hAnsi="Calibri" w:cs="Times New Roman"/>
        </w:rPr>
        <w:tab/>
        <w:t>Health plan beneficiary numbers;</w:t>
      </w:r>
    </w:p>
    <w:p w14:paraId="4D564386" w14:textId="77777777" w:rsidR="00661C7D" w:rsidRPr="00661C7D" w:rsidRDefault="00661C7D" w:rsidP="00661C7D">
      <w:pPr>
        <w:spacing w:after="0" w:line="240" w:lineRule="auto"/>
        <w:rPr>
          <w:rFonts w:ascii="Calibri" w:eastAsia="Calibri" w:hAnsi="Calibri" w:cs="Times New Roman"/>
        </w:rPr>
      </w:pPr>
      <w:r w:rsidRPr="00661C7D">
        <w:rPr>
          <w:rFonts w:ascii="Calibri" w:eastAsia="Calibri" w:hAnsi="Calibri" w:cs="Times New Roman"/>
        </w:rPr>
        <w:t>10.</w:t>
      </w:r>
      <w:r w:rsidRPr="00661C7D">
        <w:rPr>
          <w:rFonts w:ascii="Calibri" w:eastAsia="Calibri" w:hAnsi="Calibri" w:cs="Times New Roman"/>
        </w:rPr>
        <w:tab/>
        <w:t>Account numbers;</w:t>
      </w:r>
    </w:p>
    <w:p w14:paraId="01694885" w14:textId="77777777" w:rsidR="00661C7D" w:rsidRPr="00661C7D" w:rsidRDefault="00661C7D" w:rsidP="00661C7D">
      <w:pPr>
        <w:spacing w:after="0" w:line="240" w:lineRule="auto"/>
        <w:rPr>
          <w:rFonts w:ascii="Calibri" w:eastAsia="Calibri" w:hAnsi="Calibri" w:cs="Times New Roman"/>
        </w:rPr>
      </w:pPr>
      <w:r w:rsidRPr="00661C7D">
        <w:rPr>
          <w:rFonts w:ascii="Calibri" w:eastAsia="Calibri" w:hAnsi="Calibri" w:cs="Times New Roman"/>
        </w:rPr>
        <w:lastRenderedPageBreak/>
        <w:t>11.</w:t>
      </w:r>
      <w:r w:rsidRPr="00661C7D">
        <w:rPr>
          <w:rFonts w:ascii="Calibri" w:eastAsia="Calibri" w:hAnsi="Calibri" w:cs="Times New Roman"/>
        </w:rPr>
        <w:tab/>
        <w:t>Certificate/license numbers;</w:t>
      </w:r>
    </w:p>
    <w:p w14:paraId="3F0FCBD1" w14:textId="77777777" w:rsidR="00661C7D" w:rsidRPr="00661C7D" w:rsidRDefault="00661C7D" w:rsidP="00661C7D">
      <w:pPr>
        <w:spacing w:after="0" w:line="240" w:lineRule="auto"/>
        <w:rPr>
          <w:rFonts w:ascii="Calibri" w:eastAsia="Calibri" w:hAnsi="Calibri" w:cs="Times New Roman"/>
        </w:rPr>
      </w:pPr>
      <w:r w:rsidRPr="00661C7D">
        <w:rPr>
          <w:rFonts w:ascii="Calibri" w:eastAsia="Calibri" w:hAnsi="Calibri" w:cs="Times New Roman"/>
        </w:rPr>
        <w:t>12.</w:t>
      </w:r>
      <w:r w:rsidRPr="00661C7D">
        <w:rPr>
          <w:rFonts w:ascii="Calibri" w:eastAsia="Calibri" w:hAnsi="Calibri" w:cs="Times New Roman"/>
        </w:rPr>
        <w:tab/>
        <w:t>Vehicle identifiers and serial numbers, including license plates;</w:t>
      </w:r>
    </w:p>
    <w:p w14:paraId="5C0ADEED" w14:textId="77777777" w:rsidR="00661C7D" w:rsidRPr="00661C7D" w:rsidRDefault="00661C7D" w:rsidP="00661C7D">
      <w:pPr>
        <w:spacing w:after="0" w:line="240" w:lineRule="auto"/>
        <w:rPr>
          <w:rFonts w:ascii="Calibri" w:eastAsia="Calibri" w:hAnsi="Calibri" w:cs="Times New Roman"/>
        </w:rPr>
      </w:pPr>
      <w:r w:rsidRPr="00661C7D">
        <w:rPr>
          <w:rFonts w:ascii="Calibri" w:eastAsia="Calibri" w:hAnsi="Calibri" w:cs="Times New Roman"/>
        </w:rPr>
        <w:t>13.</w:t>
      </w:r>
      <w:r w:rsidRPr="00661C7D">
        <w:rPr>
          <w:rFonts w:ascii="Calibri" w:eastAsia="Calibri" w:hAnsi="Calibri" w:cs="Times New Roman"/>
        </w:rPr>
        <w:tab/>
        <w:t>Device identifiers and serial numbers;</w:t>
      </w:r>
    </w:p>
    <w:p w14:paraId="281712C6" w14:textId="77777777" w:rsidR="00661C7D" w:rsidRPr="00661C7D" w:rsidRDefault="00661C7D" w:rsidP="00661C7D">
      <w:pPr>
        <w:spacing w:after="0" w:line="240" w:lineRule="auto"/>
        <w:rPr>
          <w:rFonts w:ascii="Calibri" w:eastAsia="Calibri" w:hAnsi="Calibri" w:cs="Times New Roman"/>
        </w:rPr>
      </w:pPr>
      <w:r w:rsidRPr="00661C7D">
        <w:rPr>
          <w:rFonts w:ascii="Calibri" w:eastAsia="Calibri" w:hAnsi="Calibri" w:cs="Times New Roman"/>
        </w:rPr>
        <w:t>14.</w:t>
      </w:r>
      <w:r w:rsidRPr="00661C7D">
        <w:rPr>
          <w:rFonts w:ascii="Calibri" w:eastAsia="Calibri" w:hAnsi="Calibri" w:cs="Times New Roman"/>
        </w:rPr>
        <w:tab/>
        <w:t>Web Universal Resource Locators (URLs);</w:t>
      </w:r>
    </w:p>
    <w:p w14:paraId="18380641" w14:textId="77777777" w:rsidR="00661C7D" w:rsidRPr="00661C7D" w:rsidRDefault="00661C7D" w:rsidP="00661C7D">
      <w:pPr>
        <w:spacing w:after="0" w:line="240" w:lineRule="auto"/>
        <w:rPr>
          <w:rFonts w:ascii="Calibri" w:eastAsia="Calibri" w:hAnsi="Calibri" w:cs="Times New Roman"/>
        </w:rPr>
      </w:pPr>
      <w:r w:rsidRPr="00661C7D">
        <w:rPr>
          <w:rFonts w:ascii="Calibri" w:eastAsia="Calibri" w:hAnsi="Calibri" w:cs="Times New Roman"/>
        </w:rPr>
        <w:t>15.</w:t>
      </w:r>
      <w:r w:rsidRPr="00661C7D">
        <w:rPr>
          <w:rFonts w:ascii="Calibri" w:eastAsia="Calibri" w:hAnsi="Calibri" w:cs="Times New Roman"/>
        </w:rPr>
        <w:tab/>
        <w:t>Internet Protocol (IP) address numbers;</w:t>
      </w:r>
    </w:p>
    <w:p w14:paraId="3854BAAA" w14:textId="77777777" w:rsidR="00661C7D" w:rsidRPr="00661C7D" w:rsidRDefault="00661C7D" w:rsidP="00661C7D">
      <w:pPr>
        <w:spacing w:after="0" w:line="240" w:lineRule="auto"/>
        <w:rPr>
          <w:rFonts w:ascii="Calibri" w:eastAsia="Calibri" w:hAnsi="Calibri" w:cs="Times New Roman"/>
        </w:rPr>
      </w:pPr>
      <w:r w:rsidRPr="00661C7D">
        <w:rPr>
          <w:rFonts w:ascii="Calibri" w:eastAsia="Calibri" w:hAnsi="Calibri" w:cs="Times New Roman"/>
        </w:rPr>
        <w:t>16.</w:t>
      </w:r>
      <w:r w:rsidRPr="00661C7D">
        <w:rPr>
          <w:rFonts w:ascii="Calibri" w:eastAsia="Calibri" w:hAnsi="Calibri" w:cs="Times New Roman"/>
        </w:rPr>
        <w:tab/>
        <w:t>Biometric identifiers (including finger and voice prints);</w:t>
      </w:r>
    </w:p>
    <w:p w14:paraId="2589D770" w14:textId="77777777" w:rsidR="00661C7D" w:rsidRPr="00661C7D" w:rsidRDefault="00661C7D" w:rsidP="00661C7D">
      <w:pPr>
        <w:spacing w:after="0" w:line="240" w:lineRule="auto"/>
        <w:rPr>
          <w:rFonts w:ascii="Calibri" w:eastAsia="Calibri" w:hAnsi="Calibri" w:cs="Times New Roman"/>
        </w:rPr>
      </w:pPr>
      <w:r w:rsidRPr="00661C7D">
        <w:rPr>
          <w:rFonts w:ascii="Calibri" w:eastAsia="Calibri" w:hAnsi="Calibri" w:cs="Times New Roman"/>
        </w:rPr>
        <w:t>17.</w:t>
      </w:r>
      <w:r w:rsidRPr="00661C7D">
        <w:rPr>
          <w:rFonts w:ascii="Calibri" w:eastAsia="Calibri" w:hAnsi="Calibri" w:cs="Times New Roman"/>
        </w:rPr>
        <w:tab/>
        <w:t xml:space="preserve">Full face photographic images and any comparable images; and, </w:t>
      </w:r>
    </w:p>
    <w:p w14:paraId="3EE59CE4" w14:textId="12A62EB7" w:rsidR="00661C7D" w:rsidRDefault="00661C7D" w:rsidP="00661C7D">
      <w:pPr>
        <w:spacing w:after="0" w:line="240" w:lineRule="auto"/>
        <w:rPr>
          <w:rFonts w:ascii="Calibri" w:eastAsia="Calibri" w:hAnsi="Calibri" w:cs="Times New Roman"/>
        </w:rPr>
      </w:pPr>
      <w:r w:rsidRPr="00661C7D">
        <w:rPr>
          <w:rFonts w:ascii="Calibri" w:eastAsia="Calibri" w:hAnsi="Calibri" w:cs="Times New Roman"/>
        </w:rPr>
        <w:t>18.</w:t>
      </w:r>
      <w:r w:rsidRPr="00661C7D">
        <w:rPr>
          <w:rFonts w:ascii="Calibri" w:eastAsia="Calibri" w:hAnsi="Calibri" w:cs="Times New Roman"/>
        </w:rPr>
        <w:tab/>
        <w:t>Any other unique identifying number, characteristic, or code (</w:t>
      </w:r>
      <w:r w:rsidR="001F6C26">
        <w:rPr>
          <w:rFonts w:ascii="Calibri" w:eastAsia="Calibri" w:hAnsi="Calibri" w:cs="Times New Roman"/>
        </w:rPr>
        <w:t>with some exceptions and requirements</w:t>
      </w:r>
      <w:r w:rsidRPr="00661C7D">
        <w:rPr>
          <w:rFonts w:ascii="Calibri" w:eastAsia="Calibri" w:hAnsi="Calibri" w:cs="Times New Roman"/>
        </w:rPr>
        <w:t>).</w:t>
      </w:r>
    </w:p>
    <w:p w14:paraId="2DEA68D6" w14:textId="77777777" w:rsidR="005A3A61" w:rsidRDefault="005A3A61" w:rsidP="00661C7D">
      <w:pPr>
        <w:spacing w:after="0" w:line="240" w:lineRule="auto"/>
        <w:rPr>
          <w:rFonts w:ascii="Calibri" w:eastAsia="Calibri" w:hAnsi="Calibri" w:cs="Times New Roman"/>
        </w:rPr>
      </w:pPr>
    </w:p>
    <w:p w14:paraId="14C4A127" w14:textId="676CFCCF" w:rsidR="005A3A61" w:rsidRPr="005A3A61" w:rsidRDefault="005A3A61" w:rsidP="005A3A61">
      <w:pPr>
        <w:spacing w:after="0" w:line="240" w:lineRule="auto"/>
        <w:rPr>
          <w:rFonts w:ascii="Calibri" w:eastAsia="Calibri" w:hAnsi="Calibri" w:cs="Times New Roman"/>
        </w:rPr>
      </w:pPr>
      <w:r w:rsidRPr="005A3A61">
        <w:rPr>
          <w:rFonts w:ascii="Calibri" w:eastAsia="Calibri" w:hAnsi="Calibri" w:cs="Times New Roman"/>
          <w:b/>
        </w:rPr>
        <w:t>Deidentified</w:t>
      </w:r>
      <w:r>
        <w:rPr>
          <w:rFonts w:ascii="Calibri" w:eastAsia="Calibri" w:hAnsi="Calibri" w:cs="Times New Roman"/>
          <w:b/>
        </w:rPr>
        <w:t xml:space="preserve"> Information</w:t>
      </w:r>
      <w:r w:rsidRPr="005A3A61">
        <w:rPr>
          <w:rFonts w:ascii="Calibri" w:eastAsia="Calibri" w:hAnsi="Calibri" w:cs="Times New Roman"/>
          <w:b/>
        </w:rPr>
        <w:t>.</w:t>
      </w:r>
      <w:r>
        <w:rPr>
          <w:rFonts w:ascii="Calibri" w:eastAsia="Calibri" w:hAnsi="Calibri" w:cs="Times New Roman"/>
        </w:rPr>
        <w:t xml:space="preserve">  Information from which </w:t>
      </w:r>
      <w:r w:rsidRPr="005A3A61">
        <w:rPr>
          <w:rFonts w:ascii="Calibri" w:eastAsia="Calibri" w:hAnsi="Calibri" w:cs="Times New Roman"/>
          <w:u w:val="single"/>
        </w:rPr>
        <w:t>all</w:t>
      </w:r>
      <w:r>
        <w:rPr>
          <w:rFonts w:ascii="Calibri" w:eastAsia="Calibri" w:hAnsi="Calibri" w:cs="Times New Roman"/>
        </w:rPr>
        <w:t xml:space="preserve"> of the </w:t>
      </w:r>
      <w:r w:rsidRPr="005A3A61">
        <w:rPr>
          <w:rFonts w:ascii="Calibri" w:eastAsia="Calibri" w:hAnsi="Calibri" w:cs="Times New Roman"/>
        </w:rPr>
        <w:t xml:space="preserve">18 Identifiers </w:t>
      </w:r>
      <w:r>
        <w:rPr>
          <w:rFonts w:ascii="Calibri" w:eastAsia="Calibri" w:hAnsi="Calibri" w:cs="Times New Roman"/>
        </w:rPr>
        <w:t xml:space="preserve">have been removed.  Note that number 18 can sometimes be subjective and has some implications with respect to research.  </w:t>
      </w:r>
      <w:r w:rsidRPr="005A3A61">
        <w:rPr>
          <w:rFonts w:ascii="Calibri" w:eastAsia="Calibri" w:hAnsi="Calibri" w:cs="Times New Roman"/>
        </w:rPr>
        <w:t>Deidentified information is not subject to HIPAA</w:t>
      </w:r>
      <w:r w:rsidR="00F25714">
        <w:rPr>
          <w:rFonts w:ascii="Calibri" w:eastAsia="Calibri" w:hAnsi="Calibri" w:cs="Times New Roman"/>
        </w:rPr>
        <w:t>.</w:t>
      </w:r>
    </w:p>
    <w:p w14:paraId="44C75141" w14:textId="77777777" w:rsidR="00661C7D" w:rsidRDefault="00661C7D" w:rsidP="00072AA1">
      <w:pPr>
        <w:spacing w:after="0" w:line="240" w:lineRule="auto"/>
        <w:rPr>
          <w:rFonts w:ascii="Calibri" w:eastAsia="Calibri" w:hAnsi="Calibri" w:cs="Times New Roman"/>
          <w:b/>
        </w:rPr>
      </w:pPr>
    </w:p>
    <w:p w14:paraId="535819E0" w14:textId="62DD2110" w:rsidR="00DF57A0" w:rsidRPr="00DF57A0" w:rsidRDefault="00DF57A0" w:rsidP="001F6C26">
      <w:pPr>
        <w:spacing w:after="0" w:line="240" w:lineRule="auto"/>
        <w:rPr>
          <w:rFonts w:ascii="Calibri" w:eastAsia="Calibri" w:hAnsi="Calibri" w:cs="Times New Roman"/>
        </w:rPr>
      </w:pPr>
      <w:r w:rsidRPr="00DF57A0">
        <w:rPr>
          <w:rFonts w:ascii="Calibri" w:eastAsia="Calibri" w:hAnsi="Calibri" w:cs="Times New Roman"/>
          <w:b/>
        </w:rPr>
        <w:t>Business Associate</w:t>
      </w:r>
      <w:r w:rsidR="001F6C26">
        <w:rPr>
          <w:rFonts w:ascii="Calibri" w:eastAsia="Calibri" w:hAnsi="Calibri" w:cs="Times New Roman"/>
          <w:b/>
        </w:rPr>
        <w:t xml:space="preserve"> (BA)</w:t>
      </w:r>
      <w:r w:rsidRPr="00DF57A0">
        <w:rPr>
          <w:rFonts w:ascii="Calibri" w:eastAsia="Calibri" w:hAnsi="Calibri" w:cs="Times New Roman"/>
          <w:b/>
        </w:rPr>
        <w:t>.</w:t>
      </w:r>
      <w:r w:rsidRPr="00DF57A0">
        <w:rPr>
          <w:rFonts w:ascii="Calibri" w:eastAsia="Calibri" w:hAnsi="Calibri" w:cs="Times New Roman"/>
        </w:rPr>
        <w:t xml:space="preserve"> </w:t>
      </w:r>
      <w:r w:rsidR="001F6C26">
        <w:rPr>
          <w:rFonts w:ascii="Calibri" w:eastAsia="Calibri" w:hAnsi="Calibri" w:cs="Times New Roman"/>
        </w:rPr>
        <w:t xml:space="preserve"> A Business Associate is a </w:t>
      </w:r>
      <w:r w:rsidR="001F6C26" w:rsidRPr="001F6C26">
        <w:rPr>
          <w:rFonts w:ascii="Calibri" w:eastAsia="Calibri" w:hAnsi="Calibri" w:cs="Times New Roman"/>
        </w:rPr>
        <w:t>person or entity</w:t>
      </w:r>
      <w:r w:rsidR="001F6C26">
        <w:rPr>
          <w:rFonts w:ascii="Calibri" w:eastAsia="Calibri" w:hAnsi="Calibri" w:cs="Times New Roman"/>
        </w:rPr>
        <w:t xml:space="preserve"> </w:t>
      </w:r>
      <w:r w:rsidR="001F6C26" w:rsidRPr="001F6C26">
        <w:rPr>
          <w:rFonts w:ascii="Calibri" w:eastAsia="Calibri" w:hAnsi="Calibri" w:cs="Times New Roman"/>
        </w:rPr>
        <w:t xml:space="preserve">who performs functions or activities on behalf of, or provides certain services to, a covered entity that involve access by the </w:t>
      </w:r>
      <w:r w:rsidR="001F6C26">
        <w:rPr>
          <w:rFonts w:ascii="Calibri" w:eastAsia="Calibri" w:hAnsi="Calibri" w:cs="Times New Roman"/>
        </w:rPr>
        <w:t xml:space="preserve">BA </w:t>
      </w:r>
      <w:r w:rsidR="001F6C26" w:rsidRPr="001F6C26">
        <w:rPr>
          <w:rFonts w:ascii="Calibri" w:eastAsia="Calibri" w:hAnsi="Calibri" w:cs="Times New Roman"/>
        </w:rPr>
        <w:t xml:space="preserve">to protected health information.  A “business associate” </w:t>
      </w:r>
      <w:r w:rsidR="00345FF3">
        <w:rPr>
          <w:rFonts w:ascii="Calibri" w:eastAsia="Calibri" w:hAnsi="Calibri" w:cs="Times New Roman"/>
        </w:rPr>
        <w:t xml:space="preserve">must protect the ePHI </w:t>
      </w:r>
      <w:r w:rsidR="001F6C26" w:rsidRPr="001F6C26">
        <w:rPr>
          <w:rFonts w:ascii="Calibri" w:eastAsia="Calibri" w:hAnsi="Calibri" w:cs="Times New Roman"/>
        </w:rPr>
        <w:t xml:space="preserve">that </w:t>
      </w:r>
      <w:r w:rsidR="00345FF3">
        <w:rPr>
          <w:rFonts w:ascii="Calibri" w:eastAsia="Calibri" w:hAnsi="Calibri" w:cs="Times New Roman"/>
        </w:rPr>
        <w:t xml:space="preserve">it </w:t>
      </w:r>
      <w:r w:rsidR="001F6C26" w:rsidRPr="001F6C26">
        <w:rPr>
          <w:rFonts w:ascii="Calibri" w:eastAsia="Calibri" w:hAnsi="Calibri" w:cs="Times New Roman"/>
        </w:rPr>
        <w:t xml:space="preserve">creates, receives, maintains, or transmits on behalf of </w:t>
      </w:r>
      <w:r w:rsidR="001C47F5">
        <w:rPr>
          <w:rFonts w:ascii="Calibri" w:eastAsia="Calibri" w:hAnsi="Calibri" w:cs="Times New Roman"/>
        </w:rPr>
        <w:t>the CE</w:t>
      </w:r>
      <w:r w:rsidR="001F6C26" w:rsidRPr="001F6C26">
        <w:rPr>
          <w:rFonts w:ascii="Calibri" w:eastAsia="Calibri" w:hAnsi="Calibri" w:cs="Times New Roman"/>
        </w:rPr>
        <w:t xml:space="preserve">.  </w:t>
      </w:r>
      <w:r w:rsidR="001F6C26">
        <w:rPr>
          <w:rFonts w:ascii="Calibri" w:eastAsia="Calibri" w:hAnsi="Calibri" w:cs="Times New Roman"/>
        </w:rPr>
        <w:t xml:space="preserve">A </w:t>
      </w:r>
      <w:r w:rsidRPr="00DF57A0">
        <w:rPr>
          <w:rFonts w:ascii="Calibri" w:eastAsia="Calibri" w:hAnsi="Calibri" w:cs="Times New Roman"/>
        </w:rPr>
        <w:t xml:space="preserve">CE may be a BA of another CE if it performs such services for the other CE.  </w:t>
      </w:r>
    </w:p>
    <w:p w14:paraId="0161AA3A" w14:textId="77777777" w:rsidR="001F6C26" w:rsidRDefault="001F6C26" w:rsidP="00072AA1">
      <w:pPr>
        <w:spacing w:after="0" w:line="240" w:lineRule="auto"/>
        <w:rPr>
          <w:rFonts w:ascii="Calibri" w:eastAsia="Calibri" w:hAnsi="Calibri" w:cs="Times New Roman"/>
          <w:b/>
        </w:rPr>
      </w:pPr>
    </w:p>
    <w:p w14:paraId="20E74BD3" w14:textId="49933E90" w:rsidR="001D0078" w:rsidRPr="005E5F8D" w:rsidRDefault="001D0078" w:rsidP="00072AA1">
      <w:pPr>
        <w:spacing w:after="0" w:line="240" w:lineRule="auto"/>
        <w:rPr>
          <w:rFonts w:ascii="Calibri" w:eastAsia="Calibri" w:hAnsi="Calibri" w:cs="Times New Roman"/>
        </w:rPr>
      </w:pPr>
      <w:r w:rsidRPr="005E5F8D">
        <w:rPr>
          <w:rFonts w:ascii="Calibri" w:eastAsia="Calibri" w:hAnsi="Calibri" w:cs="Times New Roman"/>
          <w:b/>
        </w:rPr>
        <w:t>Business Associate Agreement</w:t>
      </w:r>
      <w:r w:rsidR="00672AC9">
        <w:rPr>
          <w:rFonts w:ascii="Calibri" w:eastAsia="Calibri" w:hAnsi="Calibri" w:cs="Times New Roman"/>
          <w:b/>
        </w:rPr>
        <w:t xml:space="preserve"> (BAA)</w:t>
      </w:r>
      <w:r w:rsidRPr="005E5F8D">
        <w:rPr>
          <w:rFonts w:ascii="Calibri" w:eastAsia="Calibri" w:hAnsi="Calibri" w:cs="Times New Roman"/>
          <w:b/>
        </w:rPr>
        <w:t>.</w:t>
      </w:r>
      <w:r w:rsidR="00D43009" w:rsidRPr="005E5F8D">
        <w:rPr>
          <w:rFonts w:ascii="Calibri" w:eastAsia="Calibri" w:hAnsi="Calibri" w:cs="Times New Roman"/>
          <w:b/>
        </w:rPr>
        <w:t xml:space="preserve">  </w:t>
      </w:r>
      <w:r w:rsidR="00672AC9" w:rsidRPr="00672AC9">
        <w:rPr>
          <w:rFonts w:ascii="Calibri" w:eastAsia="Calibri" w:hAnsi="Calibri" w:cs="Times New Roman"/>
        </w:rPr>
        <w:t xml:space="preserve">The HIPAA Rules generally require that </w:t>
      </w:r>
      <w:r w:rsidR="00672AC9">
        <w:rPr>
          <w:rFonts w:ascii="Calibri" w:eastAsia="Calibri" w:hAnsi="Calibri" w:cs="Times New Roman"/>
        </w:rPr>
        <w:t xml:space="preserve">CEs </w:t>
      </w:r>
      <w:r w:rsidR="00672AC9" w:rsidRPr="00672AC9">
        <w:rPr>
          <w:rFonts w:ascii="Calibri" w:eastAsia="Calibri" w:hAnsi="Calibri" w:cs="Times New Roman"/>
        </w:rPr>
        <w:t xml:space="preserve">and </w:t>
      </w:r>
      <w:r w:rsidR="00672AC9">
        <w:rPr>
          <w:rFonts w:ascii="Calibri" w:eastAsia="Calibri" w:hAnsi="Calibri" w:cs="Times New Roman"/>
        </w:rPr>
        <w:t xml:space="preserve">BAs </w:t>
      </w:r>
      <w:r w:rsidR="00672AC9" w:rsidRPr="00672AC9">
        <w:rPr>
          <w:rFonts w:ascii="Calibri" w:eastAsia="Calibri" w:hAnsi="Calibri" w:cs="Times New Roman"/>
        </w:rPr>
        <w:t xml:space="preserve">enter into contracts with their </w:t>
      </w:r>
      <w:r w:rsidR="00672AC9">
        <w:rPr>
          <w:rFonts w:ascii="Calibri" w:eastAsia="Calibri" w:hAnsi="Calibri" w:cs="Times New Roman"/>
        </w:rPr>
        <w:t xml:space="preserve">BAs </w:t>
      </w:r>
      <w:r w:rsidR="00672AC9" w:rsidRPr="00672AC9">
        <w:rPr>
          <w:rFonts w:ascii="Calibri" w:eastAsia="Calibri" w:hAnsi="Calibri" w:cs="Times New Roman"/>
        </w:rPr>
        <w:t xml:space="preserve">to ensure that the </w:t>
      </w:r>
      <w:r w:rsidR="00672AC9">
        <w:rPr>
          <w:rFonts w:ascii="Calibri" w:eastAsia="Calibri" w:hAnsi="Calibri" w:cs="Times New Roman"/>
        </w:rPr>
        <w:t xml:space="preserve">BAs </w:t>
      </w:r>
      <w:r w:rsidR="00672AC9" w:rsidRPr="00672AC9">
        <w:rPr>
          <w:rFonts w:ascii="Calibri" w:eastAsia="Calibri" w:hAnsi="Calibri" w:cs="Times New Roman"/>
        </w:rPr>
        <w:t xml:space="preserve">will appropriately safeguard </w:t>
      </w:r>
      <w:r w:rsidR="00672AC9">
        <w:rPr>
          <w:rFonts w:ascii="Calibri" w:eastAsia="Calibri" w:hAnsi="Calibri" w:cs="Times New Roman"/>
        </w:rPr>
        <w:t xml:space="preserve">PHI.  </w:t>
      </w:r>
      <w:r w:rsidR="00672AC9" w:rsidRPr="00672AC9">
        <w:rPr>
          <w:rFonts w:ascii="Calibri" w:eastAsia="Calibri" w:hAnsi="Calibri" w:cs="Times New Roman"/>
        </w:rPr>
        <w:t xml:space="preserve">The </w:t>
      </w:r>
      <w:r w:rsidR="00672AC9">
        <w:rPr>
          <w:rFonts w:ascii="Calibri" w:eastAsia="Calibri" w:hAnsi="Calibri" w:cs="Times New Roman"/>
        </w:rPr>
        <w:t xml:space="preserve">BAA </w:t>
      </w:r>
      <w:r w:rsidR="00672AC9" w:rsidRPr="00672AC9">
        <w:rPr>
          <w:rFonts w:ascii="Calibri" w:eastAsia="Calibri" w:hAnsi="Calibri" w:cs="Times New Roman"/>
        </w:rPr>
        <w:t xml:space="preserve">also serves to clarify and limit, as appropriate, the permissible uses and disclosures of </w:t>
      </w:r>
      <w:r w:rsidR="00672AC9">
        <w:rPr>
          <w:rFonts w:ascii="Calibri" w:eastAsia="Calibri" w:hAnsi="Calibri" w:cs="Times New Roman"/>
        </w:rPr>
        <w:t xml:space="preserve">PHI </w:t>
      </w:r>
      <w:r w:rsidR="00672AC9" w:rsidRPr="00672AC9">
        <w:rPr>
          <w:rFonts w:ascii="Calibri" w:eastAsia="Calibri" w:hAnsi="Calibri" w:cs="Times New Roman"/>
        </w:rPr>
        <w:t xml:space="preserve">by the </w:t>
      </w:r>
      <w:r w:rsidR="00672AC9">
        <w:rPr>
          <w:rFonts w:ascii="Calibri" w:eastAsia="Calibri" w:hAnsi="Calibri" w:cs="Times New Roman"/>
        </w:rPr>
        <w:t>BA</w:t>
      </w:r>
      <w:r w:rsidR="00672AC9" w:rsidRPr="00672AC9">
        <w:rPr>
          <w:rFonts w:ascii="Calibri" w:eastAsia="Calibri" w:hAnsi="Calibri" w:cs="Times New Roman"/>
        </w:rPr>
        <w:t xml:space="preserve">, based on the relationship between the parties and the activities or services being performed by the </w:t>
      </w:r>
      <w:r w:rsidR="00672AC9">
        <w:rPr>
          <w:rFonts w:ascii="Calibri" w:eastAsia="Calibri" w:hAnsi="Calibri" w:cs="Times New Roman"/>
        </w:rPr>
        <w:t>BA</w:t>
      </w:r>
      <w:r w:rsidR="00672AC9" w:rsidRPr="00672AC9">
        <w:rPr>
          <w:rFonts w:ascii="Calibri" w:eastAsia="Calibri" w:hAnsi="Calibri" w:cs="Times New Roman"/>
        </w:rPr>
        <w:t xml:space="preserve">.  </w:t>
      </w:r>
      <w:r w:rsidR="00672AC9">
        <w:rPr>
          <w:rFonts w:ascii="Calibri" w:eastAsia="Calibri" w:hAnsi="Calibri" w:cs="Times New Roman"/>
        </w:rPr>
        <w:t>A BA</w:t>
      </w:r>
      <w:r w:rsidR="0024759F">
        <w:rPr>
          <w:rFonts w:ascii="Calibri" w:eastAsia="Calibri" w:hAnsi="Calibri" w:cs="Times New Roman"/>
        </w:rPr>
        <w:t xml:space="preserve"> </w:t>
      </w:r>
      <w:r w:rsidR="00672AC9">
        <w:rPr>
          <w:rFonts w:ascii="Calibri" w:eastAsia="Calibri" w:hAnsi="Calibri" w:cs="Times New Roman"/>
        </w:rPr>
        <w:t xml:space="preserve">is directly liable under the HIPAA Rules for making uses or disclosures of PHI not authorized by the BAA or required by law.  </w:t>
      </w:r>
      <w:r w:rsidR="00973859" w:rsidRPr="005E5F8D">
        <w:rPr>
          <w:rFonts w:ascii="Calibri" w:eastAsia="Calibri" w:hAnsi="Calibri" w:cs="Times New Roman"/>
        </w:rPr>
        <w:t>The following items must be addressed in the BAA to ensure compliance with current regulation</w:t>
      </w:r>
      <w:r w:rsidR="00E90182" w:rsidRPr="005E5F8D">
        <w:rPr>
          <w:rFonts w:ascii="Calibri" w:eastAsia="Calibri" w:hAnsi="Calibri" w:cs="Times New Roman"/>
        </w:rPr>
        <w:t>:</w:t>
      </w:r>
    </w:p>
    <w:p w14:paraId="3067EF98" w14:textId="77777777" w:rsidR="00973859" w:rsidRPr="005E5F8D" w:rsidRDefault="00973859" w:rsidP="00072AA1">
      <w:pPr>
        <w:spacing w:after="0" w:line="240" w:lineRule="auto"/>
        <w:rPr>
          <w:rFonts w:ascii="Calibri" w:eastAsia="Calibri" w:hAnsi="Calibri" w:cs="Times New Roman"/>
        </w:rPr>
      </w:pPr>
    </w:p>
    <w:p w14:paraId="1E5F544A" w14:textId="147A0A3F" w:rsidR="00973859" w:rsidRPr="005E5F8D" w:rsidRDefault="00973859" w:rsidP="00973859">
      <w:pPr>
        <w:pStyle w:val="ListParagraph"/>
        <w:numPr>
          <w:ilvl w:val="0"/>
          <w:numId w:val="5"/>
        </w:numPr>
        <w:spacing w:after="0" w:line="240" w:lineRule="auto"/>
        <w:rPr>
          <w:rFonts w:ascii="Calibri" w:eastAsia="Calibri" w:hAnsi="Calibri" w:cs="Times New Roman"/>
        </w:rPr>
      </w:pPr>
      <w:r w:rsidRPr="005E5F8D">
        <w:rPr>
          <w:rFonts w:ascii="Calibri" w:eastAsia="Calibri" w:hAnsi="Calibri" w:cs="Times New Roman"/>
        </w:rPr>
        <w:t>Safeguards for protecting PHI</w:t>
      </w:r>
    </w:p>
    <w:p w14:paraId="5F1817FF" w14:textId="4FA42F98" w:rsidR="00973859" w:rsidRPr="005E5F8D" w:rsidRDefault="00973859" w:rsidP="00973859">
      <w:pPr>
        <w:pStyle w:val="ListParagraph"/>
        <w:numPr>
          <w:ilvl w:val="0"/>
          <w:numId w:val="5"/>
        </w:numPr>
        <w:spacing w:after="0" w:line="240" w:lineRule="auto"/>
        <w:rPr>
          <w:rFonts w:ascii="Calibri" w:eastAsia="Calibri" w:hAnsi="Calibri" w:cs="Times New Roman"/>
        </w:rPr>
      </w:pPr>
      <w:r w:rsidRPr="005E5F8D">
        <w:rPr>
          <w:rFonts w:ascii="Calibri" w:eastAsia="Calibri" w:hAnsi="Calibri" w:cs="Times New Roman"/>
        </w:rPr>
        <w:t>Reporting mechanism for inappropriate use/disclosure of PHI</w:t>
      </w:r>
    </w:p>
    <w:p w14:paraId="0FEB4434" w14:textId="1D2E0FF0" w:rsidR="00973859" w:rsidRPr="005E5F8D" w:rsidRDefault="00973859" w:rsidP="00973859">
      <w:pPr>
        <w:pStyle w:val="ListParagraph"/>
        <w:numPr>
          <w:ilvl w:val="0"/>
          <w:numId w:val="5"/>
        </w:numPr>
        <w:spacing w:after="0" w:line="240" w:lineRule="auto"/>
        <w:rPr>
          <w:rFonts w:ascii="Calibri" w:eastAsia="Calibri" w:hAnsi="Calibri" w:cs="Times New Roman"/>
        </w:rPr>
      </w:pPr>
      <w:r w:rsidRPr="005E5F8D">
        <w:rPr>
          <w:rFonts w:ascii="Calibri" w:eastAsia="Calibri" w:hAnsi="Calibri" w:cs="Times New Roman"/>
        </w:rPr>
        <w:t>Pass-through of provisions to any agent/subcontractor</w:t>
      </w:r>
    </w:p>
    <w:p w14:paraId="10E430BA" w14:textId="5077F27D" w:rsidR="00973859" w:rsidRPr="005E5F8D" w:rsidRDefault="00973859" w:rsidP="00973859">
      <w:pPr>
        <w:pStyle w:val="ListParagraph"/>
        <w:numPr>
          <w:ilvl w:val="0"/>
          <w:numId w:val="5"/>
        </w:numPr>
        <w:spacing w:after="0" w:line="240" w:lineRule="auto"/>
        <w:rPr>
          <w:rFonts w:ascii="Calibri" w:eastAsia="Calibri" w:hAnsi="Calibri" w:cs="Times New Roman"/>
        </w:rPr>
      </w:pPr>
      <w:r w:rsidRPr="005E5F8D">
        <w:rPr>
          <w:rFonts w:ascii="Calibri" w:eastAsia="Calibri" w:hAnsi="Calibri" w:cs="Times New Roman"/>
        </w:rPr>
        <w:t>Access to PHI for amendment and mechanism for Accounting of Disclosures (AOD)</w:t>
      </w:r>
    </w:p>
    <w:p w14:paraId="0B261ECA" w14:textId="3DAB9F9D" w:rsidR="00973859" w:rsidRPr="005E5F8D" w:rsidRDefault="00973859" w:rsidP="00973859">
      <w:pPr>
        <w:pStyle w:val="ListParagraph"/>
        <w:numPr>
          <w:ilvl w:val="0"/>
          <w:numId w:val="5"/>
        </w:numPr>
        <w:spacing w:after="0" w:line="240" w:lineRule="auto"/>
        <w:rPr>
          <w:rFonts w:ascii="Calibri" w:eastAsia="Calibri" w:hAnsi="Calibri" w:cs="Times New Roman"/>
        </w:rPr>
      </w:pPr>
      <w:r w:rsidRPr="005E5F8D">
        <w:rPr>
          <w:rFonts w:ascii="Calibri" w:eastAsia="Calibri" w:hAnsi="Calibri" w:cs="Times New Roman"/>
        </w:rPr>
        <w:t>Provision stating that BA will make available its internal practices, books and records relating to the use and disclosure of PHI for audit by HHS</w:t>
      </w:r>
    </w:p>
    <w:p w14:paraId="162B1709" w14:textId="071AD54D" w:rsidR="00973859" w:rsidRPr="005E5F8D" w:rsidRDefault="00973859" w:rsidP="00973859">
      <w:pPr>
        <w:pStyle w:val="ListParagraph"/>
        <w:numPr>
          <w:ilvl w:val="0"/>
          <w:numId w:val="5"/>
        </w:numPr>
        <w:spacing w:after="0" w:line="240" w:lineRule="auto"/>
        <w:rPr>
          <w:rFonts w:ascii="Calibri" w:eastAsia="Calibri" w:hAnsi="Calibri" w:cs="Times New Roman"/>
        </w:rPr>
      </w:pPr>
      <w:r w:rsidRPr="005E5F8D">
        <w:rPr>
          <w:rFonts w:ascii="Calibri" w:eastAsia="Calibri" w:hAnsi="Calibri" w:cs="Times New Roman"/>
        </w:rPr>
        <w:t>Plan for return/destruction of PHI and termination of underlying agreement</w:t>
      </w:r>
    </w:p>
    <w:p w14:paraId="54586988" w14:textId="77777777" w:rsidR="001F6C26" w:rsidRPr="005E5F8D" w:rsidRDefault="001F6C26" w:rsidP="00072AA1">
      <w:pPr>
        <w:spacing w:after="0" w:line="240" w:lineRule="auto"/>
        <w:rPr>
          <w:rFonts w:ascii="Calibri" w:eastAsia="Calibri" w:hAnsi="Calibri" w:cs="Times New Roman"/>
          <w:b/>
        </w:rPr>
      </w:pPr>
    </w:p>
    <w:p w14:paraId="3AC15333" w14:textId="38652FD7" w:rsidR="0024759F" w:rsidRDefault="00DC19AB" w:rsidP="00DC19AB">
      <w:pPr>
        <w:spacing w:after="0" w:line="240" w:lineRule="auto"/>
        <w:rPr>
          <w:rFonts w:ascii="Calibri" w:eastAsia="Calibri" w:hAnsi="Calibri" w:cs="Times New Roman"/>
        </w:rPr>
      </w:pPr>
      <w:r w:rsidRPr="005E5F8D">
        <w:rPr>
          <w:rFonts w:ascii="Calibri" w:eastAsia="Calibri" w:hAnsi="Calibri" w:cs="Times New Roman"/>
          <w:b/>
        </w:rPr>
        <w:t>Limited Data Set</w:t>
      </w:r>
      <w:r w:rsidR="0024759F">
        <w:rPr>
          <w:rFonts w:ascii="Calibri" w:eastAsia="Calibri" w:hAnsi="Calibri" w:cs="Times New Roman"/>
          <w:b/>
        </w:rPr>
        <w:t xml:space="preserve"> (LDS)</w:t>
      </w:r>
      <w:r w:rsidRPr="005E5F8D">
        <w:rPr>
          <w:rFonts w:ascii="Calibri" w:eastAsia="Calibri" w:hAnsi="Calibri" w:cs="Times New Roman"/>
          <w:b/>
        </w:rPr>
        <w:t>.</w:t>
      </w:r>
      <w:r w:rsidRPr="005E5F8D">
        <w:rPr>
          <w:rFonts w:ascii="Calibri" w:eastAsia="Calibri" w:hAnsi="Calibri" w:cs="Times New Roman"/>
        </w:rPr>
        <w:t xml:space="preserve">  </w:t>
      </w:r>
      <w:r w:rsidR="0024759F" w:rsidRPr="0024759F">
        <w:rPr>
          <w:rFonts w:ascii="Calibri" w:eastAsia="Calibri" w:hAnsi="Calibri" w:cs="Times New Roman"/>
        </w:rPr>
        <w:t xml:space="preserve">A </w:t>
      </w:r>
      <w:r w:rsidR="0024759F">
        <w:rPr>
          <w:rFonts w:ascii="Calibri" w:eastAsia="Calibri" w:hAnsi="Calibri" w:cs="Times New Roman"/>
        </w:rPr>
        <w:t xml:space="preserve">LDS </w:t>
      </w:r>
      <w:r w:rsidR="0024759F" w:rsidRPr="0024759F">
        <w:rPr>
          <w:rFonts w:ascii="Calibri" w:eastAsia="Calibri" w:hAnsi="Calibri" w:cs="Times New Roman"/>
        </w:rPr>
        <w:t xml:space="preserve">is described as health information that </w:t>
      </w:r>
      <w:r w:rsidR="0024759F" w:rsidRPr="005A3A61">
        <w:rPr>
          <w:rFonts w:ascii="Calibri" w:eastAsia="Calibri" w:hAnsi="Calibri" w:cs="Times New Roman"/>
          <w:u w:val="single"/>
        </w:rPr>
        <w:t>excludes</w:t>
      </w:r>
      <w:r w:rsidR="0024759F" w:rsidRPr="0024759F">
        <w:rPr>
          <w:rFonts w:ascii="Calibri" w:eastAsia="Calibri" w:hAnsi="Calibri" w:cs="Times New Roman"/>
        </w:rPr>
        <w:t xml:space="preserve"> certain, direct identifiers (</w:t>
      </w:r>
      <w:r w:rsidR="005A3A61">
        <w:rPr>
          <w:rFonts w:ascii="Calibri" w:eastAsia="Calibri" w:hAnsi="Calibri" w:cs="Times New Roman"/>
        </w:rPr>
        <w:t xml:space="preserve">listed </w:t>
      </w:r>
      <w:r w:rsidR="0024759F" w:rsidRPr="0024759F">
        <w:rPr>
          <w:rFonts w:ascii="Calibri" w:eastAsia="Calibri" w:hAnsi="Calibri" w:cs="Times New Roman"/>
        </w:rPr>
        <w:t xml:space="preserve">below) but that may include </w:t>
      </w:r>
      <w:r w:rsidR="0024759F" w:rsidRPr="005A3A61">
        <w:rPr>
          <w:rFonts w:ascii="Calibri" w:eastAsia="Calibri" w:hAnsi="Calibri" w:cs="Times New Roman"/>
          <w:i/>
        </w:rPr>
        <w:t>city; state; ZIP Code; elements of date; and other numbers, characteristics, or codes not listed as direct identifiers</w:t>
      </w:r>
      <w:r w:rsidR="0024759F" w:rsidRPr="0024759F">
        <w:rPr>
          <w:rFonts w:ascii="Calibri" w:eastAsia="Calibri" w:hAnsi="Calibri" w:cs="Times New Roman"/>
        </w:rPr>
        <w:t>. The direct identifiers listed in the Privacy Rule's limited data set provisions apply both to information about the individual and to information about the individual's relatives, employers, or household members. The following identifiers must be removed from health information if the data are to qualify as a limited data set:</w:t>
      </w:r>
    </w:p>
    <w:p w14:paraId="43664EEF" w14:textId="77777777" w:rsidR="0024759F" w:rsidRDefault="0024759F" w:rsidP="00DC19AB">
      <w:pPr>
        <w:spacing w:after="0" w:line="240" w:lineRule="auto"/>
        <w:rPr>
          <w:rFonts w:ascii="Calibri" w:eastAsia="Calibri" w:hAnsi="Calibri" w:cs="Times New Roman"/>
        </w:rPr>
      </w:pPr>
    </w:p>
    <w:p w14:paraId="652BEA97" w14:textId="148261B0" w:rsidR="0024759F" w:rsidRPr="0024759F" w:rsidRDefault="0024759F" w:rsidP="0024759F">
      <w:pPr>
        <w:pStyle w:val="ListParagraph"/>
        <w:numPr>
          <w:ilvl w:val="0"/>
          <w:numId w:val="16"/>
        </w:numPr>
        <w:spacing w:after="0" w:line="240" w:lineRule="auto"/>
        <w:rPr>
          <w:rFonts w:ascii="Calibri" w:eastAsia="Calibri" w:hAnsi="Calibri" w:cs="Times New Roman"/>
        </w:rPr>
      </w:pPr>
      <w:r w:rsidRPr="0024759F">
        <w:rPr>
          <w:rFonts w:ascii="Calibri" w:eastAsia="Calibri" w:hAnsi="Calibri" w:cs="Times New Roman"/>
        </w:rPr>
        <w:t>Names;</w:t>
      </w:r>
    </w:p>
    <w:p w14:paraId="60D37E44" w14:textId="68EA62FE" w:rsidR="0024759F" w:rsidRPr="0024759F" w:rsidRDefault="0024759F" w:rsidP="0024759F">
      <w:pPr>
        <w:pStyle w:val="ListParagraph"/>
        <w:numPr>
          <w:ilvl w:val="0"/>
          <w:numId w:val="16"/>
        </w:numPr>
        <w:spacing w:after="0" w:line="240" w:lineRule="auto"/>
        <w:rPr>
          <w:rFonts w:ascii="Calibri" w:eastAsia="Calibri" w:hAnsi="Calibri" w:cs="Times New Roman"/>
        </w:rPr>
      </w:pPr>
      <w:r w:rsidRPr="0024759F">
        <w:rPr>
          <w:rFonts w:ascii="Calibri" w:eastAsia="Calibri" w:hAnsi="Calibri" w:cs="Times New Roman"/>
        </w:rPr>
        <w:t>Street addresses (other than town, city, state and zip code);</w:t>
      </w:r>
    </w:p>
    <w:p w14:paraId="2C9FE79F" w14:textId="02E4A41C" w:rsidR="0024759F" w:rsidRPr="0024759F" w:rsidRDefault="0024759F" w:rsidP="0024759F">
      <w:pPr>
        <w:pStyle w:val="ListParagraph"/>
        <w:numPr>
          <w:ilvl w:val="0"/>
          <w:numId w:val="16"/>
        </w:numPr>
        <w:spacing w:after="0" w:line="240" w:lineRule="auto"/>
        <w:rPr>
          <w:rFonts w:ascii="Calibri" w:eastAsia="Calibri" w:hAnsi="Calibri" w:cs="Times New Roman"/>
        </w:rPr>
      </w:pPr>
      <w:r w:rsidRPr="0024759F">
        <w:rPr>
          <w:rFonts w:ascii="Calibri" w:eastAsia="Calibri" w:hAnsi="Calibri" w:cs="Times New Roman"/>
        </w:rPr>
        <w:t>Telephone numbers;</w:t>
      </w:r>
    </w:p>
    <w:p w14:paraId="0D858E57" w14:textId="187886FD" w:rsidR="0024759F" w:rsidRPr="0024759F" w:rsidRDefault="0024759F" w:rsidP="0024759F">
      <w:pPr>
        <w:pStyle w:val="ListParagraph"/>
        <w:numPr>
          <w:ilvl w:val="0"/>
          <w:numId w:val="16"/>
        </w:numPr>
        <w:spacing w:after="0" w:line="240" w:lineRule="auto"/>
        <w:rPr>
          <w:rFonts w:ascii="Calibri" w:eastAsia="Calibri" w:hAnsi="Calibri" w:cs="Times New Roman"/>
        </w:rPr>
      </w:pPr>
      <w:r w:rsidRPr="0024759F">
        <w:rPr>
          <w:rFonts w:ascii="Calibri" w:eastAsia="Calibri" w:hAnsi="Calibri" w:cs="Times New Roman"/>
        </w:rPr>
        <w:t>Fax numbers;</w:t>
      </w:r>
    </w:p>
    <w:p w14:paraId="57B24F55" w14:textId="62DF4FF5" w:rsidR="0024759F" w:rsidRPr="0024759F" w:rsidRDefault="0024759F" w:rsidP="0024759F">
      <w:pPr>
        <w:pStyle w:val="ListParagraph"/>
        <w:numPr>
          <w:ilvl w:val="0"/>
          <w:numId w:val="16"/>
        </w:numPr>
        <w:spacing w:after="0" w:line="240" w:lineRule="auto"/>
        <w:rPr>
          <w:rFonts w:ascii="Calibri" w:eastAsia="Calibri" w:hAnsi="Calibri" w:cs="Times New Roman"/>
        </w:rPr>
      </w:pPr>
      <w:r w:rsidRPr="0024759F">
        <w:rPr>
          <w:rFonts w:ascii="Calibri" w:eastAsia="Calibri" w:hAnsi="Calibri" w:cs="Times New Roman"/>
        </w:rPr>
        <w:t>E-mail addresses;</w:t>
      </w:r>
    </w:p>
    <w:p w14:paraId="6E9A64C4" w14:textId="2C0B55C1" w:rsidR="0024759F" w:rsidRPr="0024759F" w:rsidRDefault="0024759F" w:rsidP="0024759F">
      <w:pPr>
        <w:pStyle w:val="ListParagraph"/>
        <w:numPr>
          <w:ilvl w:val="0"/>
          <w:numId w:val="16"/>
        </w:numPr>
        <w:spacing w:after="0" w:line="240" w:lineRule="auto"/>
        <w:rPr>
          <w:rFonts w:ascii="Calibri" w:eastAsia="Calibri" w:hAnsi="Calibri" w:cs="Times New Roman"/>
        </w:rPr>
      </w:pPr>
      <w:r w:rsidRPr="0024759F">
        <w:rPr>
          <w:rFonts w:ascii="Calibri" w:eastAsia="Calibri" w:hAnsi="Calibri" w:cs="Times New Roman"/>
        </w:rPr>
        <w:t>Social Security numbers;</w:t>
      </w:r>
    </w:p>
    <w:p w14:paraId="34189AD4" w14:textId="49E5883B" w:rsidR="0024759F" w:rsidRPr="0024759F" w:rsidRDefault="0024759F" w:rsidP="0024759F">
      <w:pPr>
        <w:pStyle w:val="ListParagraph"/>
        <w:numPr>
          <w:ilvl w:val="0"/>
          <w:numId w:val="16"/>
        </w:numPr>
        <w:spacing w:after="0" w:line="240" w:lineRule="auto"/>
        <w:rPr>
          <w:rFonts w:ascii="Calibri" w:eastAsia="Calibri" w:hAnsi="Calibri" w:cs="Times New Roman"/>
        </w:rPr>
      </w:pPr>
      <w:r w:rsidRPr="0024759F">
        <w:rPr>
          <w:rFonts w:ascii="Calibri" w:eastAsia="Calibri" w:hAnsi="Calibri" w:cs="Times New Roman"/>
        </w:rPr>
        <w:t>Medical records numbers;</w:t>
      </w:r>
    </w:p>
    <w:p w14:paraId="2EF898F3" w14:textId="05A82557" w:rsidR="0024759F" w:rsidRPr="0024759F" w:rsidRDefault="0024759F" w:rsidP="0024759F">
      <w:pPr>
        <w:pStyle w:val="ListParagraph"/>
        <w:numPr>
          <w:ilvl w:val="0"/>
          <w:numId w:val="16"/>
        </w:numPr>
        <w:spacing w:after="0" w:line="240" w:lineRule="auto"/>
        <w:rPr>
          <w:rFonts w:ascii="Calibri" w:eastAsia="Calibri" w:hAnsi="Calibri" w:cs="Times New Roman"/>
        </w:rPr>
      </w:pPr>
      <w:r w:rsidRPr="0024759F">
        <w:rPr>
          <w:rFonts w:ascii="Calibri" w:eastAsia="Calibri" w:hAnsi="Calibri" w:cs="Times New Roman"/>
        </w:rPr>
        <w:t>Health plan beneficiary numbers;</w:t>
      </w:r>
    </w:p>
    <w:p w14:paraId="12106544" w14:textId="1EAD2F48" w:rsidR="0024759F" w:rsidRPr="0024759F" w:rsidRDefault="0024759F" w:rsidP="0024759F">
      <w:pPr>
        <w:pStyle w:val="ListParagraph"/>
        <w:numPr>
          <w:ilvl w:val="0"/>
          <w:numId w:val="16"/>
        </w:numPr>
        <w:spacing w:after="0" w:line="240" w:lineRule="auto"/>
        <w:rPr>
          <w:rFonts w:ascii="Calibri" w:eastAsia="Calibri" w:hAnsi="Calibri" w:cs="Times New Roman"/>
        </w:rPr>
      </w:pPr>
      <w:r w:rsidRPr="0024759F">
        <w:rPr>
          <w:rFonts w:ascii="Calibri" w:eastAsia="Calibri" w:hAnsi="Calibri" w:cs="Times New Roman"/>
        </w:rPr>
        <w:t>Account numbers;</w:t>
      </w:r>
    </w:p>
    <w:p w14:paraId="1A09A404" w14:textId="74FBAB3B" w:rsidR="0024759F" w:rsidRPr="0024759F" w:rsidRDefault="0024759F" w:rsidP="0024759F">
      <w:pPr>
        <w:pStyle w:val="ListParagraph"/>
        <w:numPr>
          <w:ilvl w:val="0"/>
          <w:numId w:val="16"/>
        </w:numPr>
        <w:spacing w:after="0" w:line="240" w:lineRule="auto"/>
        <w:rPr>
          <w:rFonts w:ascii="Calibri" w:eastAsia="Calibri" w:hAnsi="Calibri" w:cs="Times New Roman"/>
        </w:rPr>
      </w:pPr>
      <w:r w:rsidRPr="0024759F">
        <w:rPr>
          <w:rFonts w:ascii="Calibri" w:eastAsia="Calibri" w:hAnsi="Calibri" w:cs="Times New Roman"/>
        </w:rPr>
        <w:t>Certificate license numbers;</w:t>
      </w:r>
    </w:p>
    <w:p w14:paraId="7EE5FDC6" w14:textId="75E4DA9C" w:rsidR="0024759F" w:rsidRPr="0024759F" w:rsidRDefault="0024759F" w:rsidP="0024759F">
      <w:pPr>
        <w:pStyle w:val="ListParagraph"/>
        <w:numPr>
          <w:ilvl w:val="0"/>
          <w:numId w:val="16"/>
        </w:numPr>
        <w:spacing w:after="0" w:line="240" w:lineRule="auto"/>
        <w:rPr>
          <w:rFonts w:ascii="Calibri" w:eastAsia="Calibri" w:hAnsi="Calibri" w:cs="Times New Roman"/>
        </w:rPr>
      </w:pPr>
      <w:r w:rsidRPr="0024759F">
        <w:rPr>
          <w:rFonts w:ascii="Calibri" w:eastAsia="Calibri" w:hAnsi="Calibri" w:cs="Times New Roman"/>
        </w:rPr>
        <w:t>Vehicle identifiers and serial numbers, including license plates;</w:t>
      </w:r>
    </w:p>
    <w:p w14:paraId="58458A57" w14:textId="67A38D54" w:rsidR="0024759F" w:rsidRPr="0024759F" w:rsidRDefault="0024759F" w:rsidP="0024759F">
      <w:pPr>
        <w:pStyle w:val="ListParagraph"/>
        <w:numPr>
          <w:ilvl w:val="0"/>
          <w:numId w:val="16"/>
        </w:numPr>
        <w:spacing w:after="0" w:line="240" w:lineRule="auto"/>
        <w:rPr>
          <w:rFonts w:ascii="Calibri" w:eastAsia="Calibri" w:hAnsi="Calibri" w:cs="Times New Roman"/>
        </w:rPr>
      </w:pPr>
      <w:r w:rsidRPr="0024759F">
        <w:rPr>
          <w:rFonts w:ascii="Calibri" w:eastAsia="Calibri" w:hAnsi="Calibri" w:cs="Times New Roman"/>
        </w:rPr>
        <w:t>Device identifiers and serial numbers;</w:t>
      </w:r>
    </w:p>
    <w:p w14:paraId="7ED91DB8" w14:textId="0871B6B2" w:rsidR="0024759F" w:rsidRPr="0024759F" w:rsidRDefault="0024759F" w:rsidP="0024759F">
      <w:pPr>
        <w:pStyle w:val="ListParagraph"/>
        <w:numPr>
          <w:ilvl w:val="0"/>
          <w:numId w:val="16"/>
        </w:numPr>
        <w:spacing w:after="0" w:line="240" w:lineRule="auto"/>
        <w:rPr>
          <w:rFonts w:ascii="Calibri" w:eastAsia="Calibri" w:hAnsi="Calibri" w:cs="Times New Roman"/>
        </w:rPr>
      </w:pPr>
      <w:r w:rsidRPr="0024759F">
        <w:rPr>
          <w:rFonts w:ascii="Calibri" w:eastAsia="Calibri" w:hAnsi="Calibri" w:cs="Times New Roman"/>
        </w:rPr>
        <w:lastRenderedPageBreak/>
        <w:t>URLs;</w:t>
      </w:r>
    </w:p>
    <w:p w14:paraId="6A560E2F" w14:textId="0D7A82B7" w:rsidR="0024759F" w:rsidRPr="0024759F" w:rsidRDefault="0024759F" w:rsidP="0024759F">
      <w:pPr>
        <w:pStyle w:val="ListParagraph"/>
        <w:numPr>
          <w:ilvl w:val="0"/>
          <w:numId w:val="16"/>
        </w:numPr>
        <w:spacing w:after="0" w:line="240" w:lineRule="auto"/>
        <w:rPr>
          <w:rFonts w:ascii="Calibri" w:eastAsia="Calibri" w:hAnsi="Calibri" w:cs="Times New Roman"/>
        </w:rPr>
      </w:pPr>
      <w:r w:rsidRPr="0024759F">
        <w:rPr>
          <w:rFonts w:ascii="Calibri" w:eastAsia="Calibri" w:hAnsi="Calibri" w:cs="Times New Roman"/>
        </w:rPr>
        <w:t>IP address numbers;</w:t>
      </w:r>
    </w:p>
    <w:p w14:paraId="026B021C" w14:textId="2FF554DD" w:rsidR="0024759F" w:rsidRPr="0024759F" w:rsidRDefault="0024759F" w:rsidP="0024759F">
      <w:pPr>
        <w:pStyle w:val="ListParagraph"/>
        <w:numPr>
          <w:ilvl w:val="0"/>
          <w:numId w:val="16"/>
        </w:numPr>
        <w:spacing w:after="0" w:line="240" w:lineRule="auto"/>
        <w:rPr>
          <w:rFonts w:ascii="Calibri" w:eastAsia="Calibri" w:hAnsi="Calibri" w:cs="Times New Roman"/>
        </w:rPr>
      </w:pPr>
      <w:r w:rsidRPr="0024759F">
        <w:rPr>
          <w:rFonts w:ascii="Calibri" w:eastAsia="Calibri" w:hAnsi="Calibri" w:cs="Times New Roman"/>
        </w:rPr>
        <w:t>Biometric identifiers (including finger and voice prints); and</w:t>
      </w:r>
    </w:p>
    <w:p w14:paraId="4050E97B" w14:textId="71C56678" w:rsidR="0024759F" w:rsidRPr="0024759F" w:rsidRDefault="0024759F" w:rsidP="0024759F">
      <w:pPr>
        <w:pStyle w:val="ListParagraph"/>
        <w:numPr>
          <w:ilvl w:val="0"/>
          <w:numId w:val="16"/>
        </w:numPr>
        <w:spacing w:after="0" w:line="240" w:lineRule="auto"/>
        <w:rPr>
          <w:rFonts w:ascii="Calibri" w:eastAsia="Calibri" w:hAnsi="Calibri" w:cs="Times New Roman"/>
        </w:rPr>
      </w:pPr>
      <w:r w:rsidRPr="0024759F">
        <w:rPr>
          <w:rFonts w:ascii="Calibri" w:eastAsia="Calibri" w:hAnsi="Calibri" w:cs="Times New Roman"/>
        </w:rPr>
        <w:t>Full face photos (or comparable images).</w:t>
      </w:r>
    </w:p>
    <w:p w14:paraId="7B19E4E7" w14:textId="77777777" w:rsidR="0024759F" w:rsidRDefault="0024759F" w:rsidP="00DC19AB">
      <w:pPr>
        <w:spacing w:after="0" w:line="240" w:lineRule="auto"/>
        <w:rPr>
          <w:rFonts w:ascii="Calibri" w:eastAsia="Calibri" w:hAnsi="Calibri" w:cs="Times New Roman"/>
        </w:rPr>
      </w:pPr>
    </w:p>
    <w:p w14:paraId="07AEEBB3" w14:textId="257FF88B" w:rsidR="0024759F" w:rsidRDefault="0024759F" w:rsidP="0024759F">
      <w:pPr>
        <w:spacing w:after="0" w:line="240" w:lineRule="auto"/>
        <w:rPr>
          <w:rFonts w:ascii="Calibri" w:eastAsia="Calibri" w:hAnsi="Calibri" w:cs="Times New Roman"/>
        </w:rPr>
      </w:pPr>
      <w:r w:rsidRPr="0024759F">
        <w:rPr>
          <w:rFonts w:ascii="Calibri" w:eastAsia="Calibri" w:hAnsi="Calibri" w:cs="Times New Roman"/>
          <w:b/>
        </w:rPr>
        <w:t>Data Use Agreement</w:t>
      </w:r>
      <w:r>
        <w:rPr>
          <w:rFonts w:ascii="Calibri" w:eastAsia="Calibri" w:hAnsi="Calibri" w:cs="Times New Roman"/>
          <w:b/>
        </w:rPr>
        <w:t xml:space="preserve"> (DUA)</w:t>
      </w:r>
      <w:r w:rsidRPr="0024759F">
        <w:rPr>
          <w:rFonts w:ascii="Calibri" w:eastAsia="Calibri" w:hAnsi="Calibri" w:cs="Times New Roman"/>
          <w:b/>
        </w:rPr>
        <w:t>.</w:t>
      </w:r>
      <w:r>
        <w:rPr>
          <w:rFonts w:ascii="Calibri" w:eastAsia="Calibri" w:hAnsi="Calibri" w:cs="Times New Roman"/>
        </w:rPr>
        <w:t xml:space="preserve">  </w:t>
      </w:r>
      <w:r w:rsidR="005A3A61" w:rsidRPr="005A3A61">
        <w:rPr>
          <w:rFonts w:ascii="Calibri" w:eastAsia="Calibri" w:hAnsi="Calibri" w:cs="Times New Roman"/>
        </w:rPr>
        <w:t xml:space="preserve">An agreement into which </w:t>
      </w:r>
      <w:r w:rsidR="005A3A61">
        <w:rPr>
          <w:rFonts w:ascii="Calibri" w:eastAsia="Calibri" w:hAnsi="Calibri" w:cs="Times New Roman"/>
        </w:rPr>
        <w:t xml:space="preserve">a CE </w:t>
      </w:r>
      <w:r w:rsidR="005A3A61" w:rsidRPr="005A3A61">
        <w:rPr>
          <w:rFonts w:ascii="Calibri" w:eastAsia="Calibri" w:hAnsi="Calibri" w:cs="Times New Roman"/>
        </w:rPr>
        <w:t xml:space="preserve">enters with the intended recipient of a </w:t>
      </w:r>
      <w:r w:rsidR="005A3A61">
        <w:rPr>
          <w:rFonts w:ascii="Calibri" w:eastAsia="Calibri" w:hAnsi="Calibri" w:cs="Times New Roman"/>
        </w:rPr>
        <w:t xml:space="preserve">LDS </w:t>
      </w:r>
      <w:r w:rsidR="005A3A61" w:rsidRPr="005A3A61">
        <w:rPr>
          <w:rFonts w:ascii="Calibri" w:eastAsia="Calibri" w:hAnsi="Calibri" w:cs="Times New Roman"/>
        </w:rPr>
        <w:t>that establishes the ways in which the information in the limited data set may be used and how it will be protected.</w:t>
      </w:r>
      <w:r w:rsidR="005A3A61">
        <w:rPr>
          <w:rFonts w:ascii="Calibri" w:eastAsia="Calibri" w:hAnsi="Calibri" w:cs="Times New Roman"/>
        </w:rPr>
        <w:t xml:space="preserve">  </w:t>
      </w:r>
      <w:r w:rsidRPr="0024759F">
        <w:rPr>
          <w:rFonts w:ascii="Calibri" w:eastAsia="Calibri" w:hAnsi="Calibri" w:cs="Times New Roman"/>
        </w:rPr>
        <w:t>The data use agreement must:</w:t>
      </w:r>
    </w:p>
    <w:p w14:paraId="1124BDD5" w14:textId="77777777" w:rsidR="0024759F" w:rsidRPr="0024759F" w:rsidRDefault="0024759F" w:rsidP="0024759F">
      <w:pPr>
        <w:spacing w:after="0" w:line="240" w:lineRule="auto"/>
        <w:rPr>
          <w:rFonts w:ascii="Calibri" w:eastAsia="Calibri" w:hAnsi="Calibri" w:cs="Times New Roman"/>
        </w:rPr>
      </w:pPr>
    </w:p>
    <w:p w14:paraId="5C94F516" w14:textId="77777777" w:rsidR="0024759F" w:rsidRPr="0024759F" w:rsidRDefault="0024759F" w:rsidP="0024759F">
      <w:pPr>
        <w:pStyle w:val="ListParagraph"/>
        <w:numPr>
          <w:ilvl w:val="0"/>
          <w:numId w:val="15"/>
        </w:numPr>
        <w:spacing w:after="0" w:line="240" w:lineRule="auto"/>
        <w:rPr>
          <w:rFonts w:ascii="Calibri" w:eastAsia="Calibri" w:hAnsi="Calibri" w:cs="Times New Roman"/>
        </w:rPr>
      </w:pPr>
      <w:r w:rsidRPr="0024759F">
        <w:rPr>
          <w:rFonts w:ascii="Calibri" w:eastAsia="Calibri" w:hAnsi="Calibri" w:cs="Times New Roman"/>
        </w:rPr>
        <w:t xml:space="preserve">Establish the permitted uses and disclosures of the limited data set by the recipient, consistent with the purposes of the research, and which may not include any use or disclosure that would violate the Rule if done by the covered entity; </w:t>
      </w:r>
    </w:p>
    <w:p w14:paraId="598B3CA2" w14:textId="77777777" w:rsidR="0024759F" w:rsidRPr="0024759F" w:rsidRDefault="0024759F" w:rsidP="0024759F">
      <w:pPr>
        <w:pStyle w:val="ListParagraph"/>
        <w:numPr>
          <w:ilvl w:val="0"/>
          <w:numId w:val="15"/>
        </w:numPr>
        <w:spacing w:after="0" w:line="240" w:lineRule="auto"/>
        <w:rPr>
          <w:rFonts w:ascii="Calibri" w:eastAsia="Calibri" w:hAnsi="Calibri" w:cs="Times New Roman"/>
        </w:rPr>
      </w:pPr>
      <w:r w:rsidRPr="0024759F">
        <w:rPr>
          <w:rFonts w:ascii="Calibri" w:eastAsia="Calibri" w:hAnsi="Calibri" w:cs="Times New Roman"/>
        </w:rPr>
        <w:t xml:space="preserve">Limit who can use or receive the data; and </w:t>
      </w:r>
    </w:p>
    <w:p w14:paraId="4DA2056B" w14:textId="77777777" w:rsidR="0024759F" w:rsidRPr="0024759F" w:rsidRDefault="0024759F" w:rsidP="0024759F">
      <w:pPr>
        <w:pStyle w:val="ListParagraph"/>
        <w:numPr>
          <w:ilvl w:val="0"/>
          <w:numId w:val="15"/>
        </w:numPr>
        <w:spacing w:after="0" w:line="240" w:lineRule="auto"/>
        <w:rPr>
          <w:rFonts w:ascii="Calibri" w:eastAsia="Calibri" w:hAnsi="Calibri" w:cs="Times New Roman"/>
        </w:rPr>
      </w:pPr>
      <w:r w:rsidRPr="0024759F">
        <w:rPr>
          <w:rFonts w:ascii="Calibri" w:eastAsia="Calibri" w:hAnsi="Calibri" w:cs="Times New Roman"/>
        </w:rPr>
        <w:t>Require the recipient to agree to the following:</w:t>
      </w:r>
    </w:p>
    <w:p w14:paraId="5BB6A94B" w14:textId="50B830A1" w:rsidR="0024759F" w:rsidRPr="0024759F" w:rsidRDefault="005A3A61" w:rsidP="00CB7FC7">
      <w:pPr>
        <w:pStyle w:val="ListParagraph"/>
        <w:numPr>
          <w:ilvl w:val="0"/>
          <w:numId w:val="17"/>
        </w:numPr>
        <w:spacing w:after="0" w:line="240" w:lineRule="auto"/>
        <w:rPr>
          <w:rFonts w:ascii="Calibri" w:eastAsia="Calibri" w:hAnsi="Calibri" w:cs="Times New Roman"/>
        </w:rPr>
      </w:pPr>
      <w:r>
        <w:rPr>
          <w:rFonts w:ascii="Calibri" w:eastAsia="Calibri" w:hAnsi="Calibri" w:cs="Times New Roman"/>
        </w:rPr>
        <w:t>Require recipient n</w:t>
      </w:r>
      <w:r w:rsidR="0024759F" w:rsidRPr="0024759F">
        <w:rPr>
          <w:rFonts w:ascii="Calibri" w:eastAsia="Calibri" w:hAnsi="Calibri" w:cs="Times New Roman"/>
        </w:rPr>
        <w:t xml:space="preserve">ot to use or disclose the information other than as permitted by the data use agreement or as otherwise required by law; </w:t>
      </w:r>
    </w:p>
    <w:p w14:paraId="098990C5" w14:textId="77777777" w:rsidR="0024759F" w:rsidRPr="0024759F" w:rsidRDefault="0024759F" w:rsidP="00CB7FC7">
      <w:pPr>
        <w:pStyle w:val="ListParagraph"/>
        <w:numPr>
          <w:ilvl w:val="0"/>
          <w:numId w:val="17"/>
        </w:numPr>
        <w:spacing w:after="0" w:line="240" w:lineRule="auto"/>
        <w:rPr>
          <w:rFonts w:ascii="Calibri" w:eastAsia="Calibri" w:hAnsi="Calibri" w:cs="Times New Roman"/>
        </w:rPr>
      </w:pPr>
      <w:r w:rsidRPr="0024759F">
        <w:rPr>
          <w:rFonts w:ascii="Calibri" w:eastAsia="Calibri" w:hAnsi="Calibri" w:cs="Times New Roman"/>
        </w:rPr>
        <w:t xml:space="preserve">Use appropriate safeguards to prevent the use or disclosure of the information other than as provided for in the data use agreement; </w:t>
      </w:r>
    </w:p>
    <w:p w14:paraId="7D8385F7" w14:textId="77777777" w:rsidR="0024759F" w:rsidRPr="0024759F" w:rsidRDefault="0024759F" w:rsidP="00CB7FC7">
      <w:pPr>
        <w:pStyle w:val="ListParagraph"/>
        <w:numPr>
          <w:ilvl w:val="0"/>
          <w:numId w:val="17"/>
        </w:numPr>
        <w:spacing w:after="0" w:line="240" w:lineRule="auto"/>
        <w:rPr>
          <w:rFonts w:ascii="Calibri" w:eastAsia="Calibri" w:hAnsi="Calibri" w:cs="Times New Roman"/>
        </w:rPr>
      </w:pPr>
      <w:r w:rsidRPr="0024759F">
        <w:rPr>
          <w:rFonts w:ascii="Calibri" w:eastAsia="Calibri" w:hAnsi="Calibri" w:cs="Times New Roman"/>
        </w:rPr>
        <w:t xml:space="preserve">Report to the covered entity any use or disclosure of the information not provided for by the data use agreement of which the recipient becomes aware; </w:t>
      </w:r>
    </w:p>
    <w:p w14:paraId="39B761F9" w14:textId="77777777" w:rsidR="0024759F" w:rsidRPr="0024759F" w:rsidRDefault="0024759F" w:rsidP="00CB7FC7">
      <w:pPr>
        <w:pStyle w:val="ListParagraph"/>
        <w:numPr>
          <w:ilvl w:val="0"/>
          <w:numId w:val="17"/>
        </w:numPr>
        <w:spacing w:after="0" w:line="240" w:lineRule="auto"/>
        <w:rPr>
          <w:rFonts w:ascii="Calibri" w:eastAsia="Calibri" w:hAnsi="Calibri" w:cs="Times New Roman"/>
        </w:rPr>
      </w:pPr>
      <w:r w:rsidRPr="0024759F">
        <w:rPr>
          <w:rFonts w:ascii="Calibri" w:eastAsia="Calibri" w:hAnsi="Calibri" w:cs="Times New Roman"/>
        </w:rPr>
        <w:t>Ensure that any agents, including a subcontractor, to whom the recipient provides the limited data set agrees to the same restrictions and conditions that apply to the recipient with respect to the limited data set; and</w:t>
      </w:r>
    </w:p>
    <w:p w14:paraId="20C6F610" w14:textId="4DDC1593" w:rsidR="0024759F" w:rsidRPr="0024759F" w:rsidRDefault="005A3A61" w:rsidP="00CB7FC7">
      <w:pPr>
        <w:pStyle w:val="ListParagraph"/>
        <w:numPr>
          <w:ilvl w:val="0"/>
          <w:numId w:val="17"/>
        </w:numPr>
        <w:spacing w:after="0" w:line="240" w:lineRule="auto"/>
        <w:rPr>
          <w:rFonts w:ascii="Calibri" w:eastAsia="Calibri" w:hAnsi="Calibri" w:cs="Times New Roman"/>
        </w:rPr>
      </w:pPr>
      <w:r w:rsidRPr="005A3A61">
        <w:rPr>
          <w:rFonts w:ascii="Calibri" w:eastAsia="Calibri" w:hAnsi="Calibri" w:cs="Times New Roman"/>
        </w:rPr>
        <w:t xml:space="preserve">Require recipient </w:t>
      </w:r>
      <w:r>
        <w:rPr>
          <w:rFonts w:ascii="Calibri" w:eastAsia="Calibri" w:hAnsi="Calibri" w:cs="Times New Roman"/>
        </w:rPr>
        <w:t>n</w:t>
      </w:r>
      <w:r w:rsidR="0024759F" w:rsidRPr="0024759F">
        <w:rPr>
          <w:rFonts w:ascii="Calibri" w:eastAsia="Calibri" w:hAnsi="Calibri" w:cs="Times New Roman"/>
        </w:rPr>
        <w:t>ot to identify the information or contact the individual.</w:t>
      </w:r>
    </w:p>
    <w:p w14:paraId="0BDA9437" w14:textId="77777777" w:rsidR="0024759F" w:rsidRDefault="0024759F" w:rsidP="00CB7FC7">
      <w:pPr>
        <w:spacing w:after="0" w:line="240" w:lineRule="auto"/>
        <w:ind w:left="360"/>
        <w:rPr>
          <w:rFonts w:ascii="Calibri" w:eastAsia="Calibri" w:hAnsi="Calibri" w:cs="Times New Roman"/>
        </w:rPr>
      </w:pPr>
    </w:p>
    <w:p w14:paraId="653E3AE9" w14:textId="646F3698" w:rsidR="00DC19AB" w:rsidRDefault="00DC19AB" w:rsidP="00DC19AB">
      <w:pPr>
        <w:spacing w:after="0" w:line="240" w:lineRule="auto"/>
        <w:rPr>
          <w:rFonts w:ascii="Calibri" w:eastAsia="Calibri" w:hAnsi="Calibri" w:cs="Times New Roman"/>
        </w:rPr>
      </w:pPr>
      <w:r w:rsidRPr="005E5F8D">
        <w:rPr>
          <w:rFonts w:ascii="Calibri" w:eastAsia="Calibri" w:hAnsi="Calibri" w:cs="Times New Roman"/>
        </w:rPr>
        <w:t xml:space="preserve">It is important to note that this information </w:t>
      </w:r>
      <w:r w:rsidR="005A3A61" w:rsidRPr="00A06A40">
        <w:rPr>
          <w:rFonts w:ascii="Calibri" w:eastAsia="Calibri" w:hAnsi="Calibri" w:cs="Times New Roman"/>
          <w:b/>
          <w:i/>
          <w:u w:val="single"/>
        </w:rPr>
        <w:t>is</w:t>
      </w:r>
      <w:r w:rsidR="005A3A61">
        <w:rPr>
          <w:rFonts w:ascii="Calibri" w:eastAsia="Calibri" w:hAnsi="Calibri" w:cs="Times New Roman"/>
        </w:rPr>
        <w:t xml:space="preserve"> </w:t>
      </w:r>
      <w:r w:rsidR="001D0078" w:rsidRPr="005E5F8D">
        <w:rPr>
          <w:rFonts w:ascii="Calibri" w:eastAsia="Calibri" w:hAnsi="Calibri" w:cs="Times New Roman"/>
          <w:b/>
        </w:rPr>
        <w:t>PHI</w:t>
      </w:r>
      <w:r w:rsidR="001D0078" w:rsidRPr="005E5F8D">
        <w:rPr>
          <w:rFonts w:ascii="Calibri" w:eastAsia="Calibri" w:hAnsi="Calibri" w:cs="Times New Roman"/>
        </w:rPr>
        <w:t xml:space="preserve"> </w:t>
      </w:r>
      <w:r w:rsidRPr="005E5F8D">
        <w:rPr>
          <w:rFonts w:ascii="Calibri" w:eastAsia="Calibri" w:hAnsi="Calibri" w:cs="Times New Roman"/>
        </w:rPr>
        <w:t xml:space="preserve">under HIPAA.  </w:t>
      </w:r>
      <w:r w:rsidRPr="00A06A40">
        <w:rPr>
          <w:rFonts w:ascii="Calibri" w:eastAsia="Calibri" w:hAnsi="Calibri" w:cs="Times New Roman"/>
          <w:i/>
        </w:rPr>
        <w:t>It is</w:t>
      </w:r>
      <w:r w:rsidRPr="005E5F8D">
        <w:rPr>
          <w:rFonts w:ascii="Calibri" w:eastAsia="Calibri" w:hAnsi="Calibri" w:cs="Times New Roman"/>
          <w:b/>
          <w:i/>
        </w:rPr>
        <w:t xml:space="preserve"> </w:t>
      </w:r>
      <w:r w:rsidRPr="00A06A40">
        <w:rPr>
          <w:rFonts w:ascii="Calibri" w:eastAsia="Calibri" w:hAnsi="Calibri" w:cs="Times New Roman"/>
          <w:b/>
          <w:i/>
          <w:u w:val="single"/>
        </w:rPr>
        <w:t>not de-identified</w:t>
      </w:r>
      <w:r w:rsidRPr="005E5F8D">
        <w:rPr>
          <w:rFonts w:ascii="Calibri" w:eastAsia="Calibri" w:hAnsi="Calibri" w:cs="Times New Roman"/>
          <w:b/>
          <w:i/>
        </w:rPr>
        <w:t xml:space="preserve"> </w:t>
      </w:r>
      <w:r w:rsidRPr="00A06A40">
        <w:rPr>
          <w:rFonts w:ascii="Calibri" w:eastAsia="Calibri" w:hAnsi="Calibri" w:cs="Times New Roman"/>
          <w:i/>
        </w:rPr>
        <w:t>information</w:t>
      </w:r>
      <w:r w:rsidRPr="005E5F8D">
        <w:rPr>
          <w:rFonts w:ascii="Calibri" w:eastAsia="Calibri" w:hAnsi="Calibri" w:cs="Times New Roman"/>
        </w:rPr>
        <w:t xml:space="preserve"> and is still subject to the requirements of </w:t>
      </w:r>
      <w:r w:rsidR="00B4657D" w:rsidRPr="005E5F8D">
        <w:rPr>
          <w:rFonts w:ascii="Calibri" w:eastAsia="Calibri" w:hAnsi="Calibri" w:cs="Times New Roman"/>
        </w:rPr>
        <w:t>HIPAA</w:t>
      </w:r>
      <w:r w:rsidRPr="005E5F8D">
        <w:rPr>
          <w:rFonts w:ascii="Calibri" w:eastAsia="Calibri" w:hAnsi="Calibri" w:cs="Times New Roman"/>
        </w:rPr>
        <w:t>.</w:t>
      </w:r>
    </w:p>
    <w:p w14:paraId="2E88DA2F" w14:textId="77777777" w:rsidR="00F03976" w:rsidRDefault="00F03976" w:rsidP="00DC19AB">
      <w:pPr>
        <w:spacing w:after="0" w:line="240" w:lineRule="auto"/>
        <w:rPr>
          <w:rFonts w:ascii="Calibri" w:eastAsia="Calibri" w:hAnsi="Calibri" w:cs="Times New Roman"/>
        </w:rPr>
      </w:pPr>
    </w:p>
    <w:p w14:paraId="377A7802" w14:textId="77777777" w:rsidR="00672AC9" w:rsidRDefault="00672AC9" w:rsidP="00DC19AB">
      <w:pPr>
        <w:spacing w:after="0" w:line="240" w:lineRule="auto"/>
        <w:rPr>
          <w:rFonts w:ascii="Calibri" w:eastAsia="Calibri" w:hAnsi="Calibri" w:cs="Times New Roman"/>
        </w:rPr>
      </w:pPr>
    </w:p>
    <w:p w14:paraId="198E4A86" w14:textId="77777777" w:rsidR="005A3A61" w:rsidRDefault="005A3A61" w:rsidP="000C3D7C">
      <w:pPr>
        <w:spacing w:after="0" w:line="240" w:lineRule="auto"/>
        <w:rPr>
          <w:rFonts w:ascii="Calibri" w:eastAsia="Calibri" w:hAnsi="Calibri" w:cs="Times New Roman"/>
          <w:b/>
        </w:rPr>
      </w:pPr>
    </w:p>
    <w:p w14:paraId="670F1078" w14:textId="77777777" w:rsidR="00A06A40" w:rsidRDefault="00A06A40" w:rsidP="000C3D7C">
      <w:pPr>
        <w:spacing w:after="0" w:line="240" w:lineRule="auto"/>
        <w:rPr>
          <w:rFonts w:ascii="Calibri" w:eastAsia="Calibri" w:hAnsi="Calibri" w:cs="Times New Roman"/>
          <w:b/>
        </w:rPr>
      </w:pPr>
    </w:p>
    <w:p w14:paraId="00A20DA8" w14:textId="39790B51" w:rsidR="000C3D7C" w:rsidRPr="000C3D7C" w:rsidRDefault="000C3D7C" w:rsidP="000C3D7C">
      <w:pPr>
        <w:spacing w:after="0" w:line="240" w:lineRule="auto"/>
        <w:rPr>
          <w:rFonts w:ascii="Calibri" w:eastAsia="Calibri" w:hAnsi="Calibri" w:cs="Times New Roman"/>
          <w:b/>
        </w:rPr>
      </w:pPr>
      <w:r w:rsidRPr="000C3D7C">
        <w:rPr>
          <w:rFonts w:ascii="Calibri" w:eastAsia="Calibri" w:hAnsi="Calibri" w:cs="Times New Roman"/>
          <w:b/>
        </w:rPr>
        <w:t>Useful Links:</w:t>
      </w:r>
    </w:p>
    <w:p w14:paraId="5CBEAF07" w14:textId="094CE9C8" w:rsidR="000C3D7C" w:rsidRDefault="000C3D7C" w:rsidP="000C3D7C">
      <w:pPr>
        <w:spacing w:after="0" w:line="240" w:lineRule="auto"/>
        <w:rPr>
          <w:rFonts w:ascii="Calibri" w:eastAsia="Calibri" w:hAnsi="Calibri" w:cs="Times New Roman"/>
        </w:rPr>
      </w:pPr>
      <w:r>
        <w:rPr>
          <w:rFonts w:ascii="Calibri" w:eastAsia="Calibri" w:hAnsi="Calibri" w:cs="Times New Roman"/>
        </w:rPr>
        <w:t xml:space="preserve">Internal – </w:t>
      </w:r>
    </w:p>
    <w:p w14:paraId="0D992554" w14:textId="5AFD7B44" w:rsidR="000C3D7C" w:rsidRPr="000C3D7C" w:rsidRDefault="006F38D3" w:rsidP="000C3D7C">
      <w:pPr>
        <w:spacing w:after="0" w:line="240" w:lineRule="auto"/>
        <w:rPr>
          <w:rFonts w:ascii="Calibri" w:eastAsia="Calibri" w:hAnsi="Calibri" w:cs="Times New Roman"/>
        </w:rPr>
      </w:pPr>
      <w:hyperlink r:id="rId12" w:anchor="ft-hipaa-privacy-and-compliance-2" w:history="1">
        <w:r w:rsidR="000C3D7C" w:rsidRPr="006F38D3">
          <w:rPr>
            <w:rStyle w:val="Hyperlink"/>
            <w:rFonts w:ascii="Calibri" w:eastAsia="Calibri" w:hAnsi="Calibri" w:cs="Times New Roman"/>
          </w:rPr>
          <w:t>Office of Regulatory Compliance</w:t>
        </w:r>
      </w:hyperlink>
      <w:r w:rsidR="000C3D7C" w:rsidRPr="000C3D7C">
        <w:rPr>
          <w:rFonts w:ascii="Calibri" w:eastAsia="Calibri" w:hAnsi="Calibri" w:cs="Times New Roman"/>
        </w:rPr>
        <w:t xml:space="preserve"> website</w:t>
      </w:r>
    </w:p>
    <w:p w14:paraId="73B40148" w14:textId="6B3774C6" w:rsidR="000C3D7C" w:rsidRDefault="00000000" w:rsidP="000C3D7C">
      <w:pPr>
        <w:spacing w:after="0" w:line="240" w:lineRule="auto"/>
        <w:rPr>
          <w:rFonts w:ascii="Calibri" w:eastAsia="Calibri" w:hAnsi="Calibri" w:cs="Times New Roman"/>
        </w:rPr>
      </w:pPr>
      <w:hyperlink r:id="rId13" w:history="1">
        <w:r w:rsidR="000C3D7C" w:rsidRPr="000C3D7C">
          <w:rPr>
            <w:rStyle w:val="Hyperlink"/>
            <w:rFonts w:ascii="Calibri" w:eastAsia="Calibri" w:hAnsi="Calibri" w:cs="Times New Roman"/>
          </w:rPr>
          <w:t>HIPAA Policies</w:t>
        </w:r>
      </w:hyperlink>
      <w:r w:rsidR="000C3D7C" w:rsidRPr="000C3D7C">
        <w:rPr>
          <w:rFonts w:ascii="Calibri" w:eastAsia="Calibri" w:hAnsi="Calibri" w:cs="Times New Roman"/>
        </w:rPr>
        <w:t xml:space="preserve"> (you can also get to these via the Office of Regulatory Compliance website above</w:t>
      </w:r>
      <w:r w:rsidR="00601F82">
        <w:rPr>
          <w:rFonts w:ascii="Calibri" w:eastAsia="Calibri" w:hAnsi="Calibri" w:cs="Times New Roman"/>
        </w:rPr>
        <w:t>; Policies include references to relevant sections in the Code of Federal Regulations</w:t>
      </w:r>
      <w:r w:rsidR="000C3D7C" w:rsidRPr="000C3D7C">
        <w:rPr>
          <w:rFonts w:ascii="Calibri" w:eastAsia="Calibri" w:hAnsi="Calibri" w:cs="Times New Roman"/>
        </w:rPr>
        <w:t>)</w:t>
      </w:r>
    </w:p>
    <w:p w14:paraId="22950B52" w14:textId="15160251" w:rsidR="0092380E" w:rsidRDefault="00000000" w:rsidP="000C3D7C">
      <w:pPr>
        <w:spacing w:after="0" w:line="240" w:lineRule="auto"/>
        <w:rPr>
          <w:rFonts w:ascii="Calibri" w:eastAsia="Calibri" w:hAnsi="Calibri" w:cs="Times New Roman"/>
        </w:rPr>
      </w:pPr>
      <w:hyperlink r:id="rId14" w:history="1">
        <w:r w:rsidR="0092380E" w:rsidRPr="0092380E">
          <w:rPr>
            <w:rStyle w:val="Hyperlink"/>
            <w:rFonts w:ascii="Calibri" w:eastAsia="Calibri" w:hAnsi="Calibri" w:cs="Times New Roman"/>
          </w:rPr>
          <w:t xml:space="preserve">APS 5055 – HIPAA </w:t>
        </w:r>
        <w:r w:rsidR="0092380E" w:rsidRPr="0092380E">
          <w:rPr>
            <w:rStyle w:val="Hyperlink"/>
            <w:rFonts w:ascii="Calibri" w:eastAsia="Calibri" w:hAnsi="Calibri" w:cs="Times New Roman"/>
          </w:rPr>
          <w:t>H</w:t>
        </w:r>
        <w:r w:rsidR="0092380E" w:rsidRPr="0092380E">
          <w:rPr>
            <w:rStyle w:val="Hyperlink"/>
            <w:rFonts w:ascii="Calibri" w:eastAsia="Calibri" w:hAnsi="Calibri" w:cs="Times New Roman"/>
          </w:rPr>
          <w:t>ybrid Entity Designation</w:t>
        </w:r>
      </w:hyperlink>
    </w:p>
    <w:p w14:paraId="0863890A" w14:textId="77777777" w:rsidR="0092380E" w:rsidRDefault="0092380E" w:rsidP="000C3D7C">
      <w:pPr>
        <w:spacing w:after="0" w:line="240" w:lineRule="auto"/>
        <w:rPr>
          <w:rFonts w:ascii="Calibri" w:eastAsia="Calibri" w:hAnsi="Calibri" w:cs="Times New Roman"/>
        </w:rPr>
      </w:pPr>
    </w:p>
    <w:p w14:paraId="66B150D5" w14:textId="7365F05F" w:rsidR="000C3D7C" w:rsidRDefault="000C3D7C" w:rsidP="000C3D7C">
      <w:pPr>
        <w:spacing w:after="0" w:line="240" w:lineRule="auto"/>
        <w:rPr>
          <w:rFonts w:ascii="Calibri" w:eastAsia="Calibri" w:hAnsi="Calibri" w:cs="Times New Roman"/>
        </w:rPr>
      </w:pPr>
      <w:r>
        <w:rPr>
          <w:rFonts w:ascii="Calibri" w:eastAsia="Calibri" w:hAnsi="Calibri" w:cs="Times New Roman"/>
        </w:rPr>
        <w:t xml:space="preserve">External – </w:t>
      </w:r>
    </w:p>
    <w:p w14:paraId="6D8CED2B" w14:textId="006179BA" w:rsidR="0092380E" w:rsidRDefault="00760FC5" w:rsidP="000C3D7C">
      <w:pPr>
        <w:spacing w:after="0" w:line="240" w:lineRule="auto"/>
        <w:rPr>
          <w:rFonts w:ascii="Calibri" w:eastAsia="Calibri" w:hAnsi="Calibri" w:cs="Times New Roman"/>
        </w:rPr>
      </w:pPr>
      <w:hyperlink r:id="rId15" w:history="1">
        <w:r>
          <w:rPr>
            <w:rStyle w:val="Hyperlink"/>
          </w:rPr>
          <w:t>HIPAA FAQs for Professionals | HHS.gov</w:t>
        </w:r>
      </w:hyperlink>
      <w:r>
        <w:t xml:space="preserve"> </w:t>
      </w:r>
      <w:r w:rsidR="00583710">
        <w:rPr>
          <w:rFonts w:ascii="Calibri" w:eastAsia="Calibri" w:hAnsi="Calibri" w:cs="Times New Roman"/>
        </w:rPr>
        <w:t>website</w:t>
      </w:r>
    </w:p>
    <w:p w14:paraId="3B76D78B" w14:textId="0A321A65" w:rsidR="000C3D7C" w:rsidRDefault="00000000" w:rsidP="000C3D7C">
      <w:pPr>
        <w:spacing w:after="0" w:line="240" w:lineRule="auto"/>
        <w:rPr>
          <w:rFonts w:ascii="Calibri" w:eastAsia="Calibri" w:hAnsi="Calibri" w:cs="Times New Roman"/>
        </w:rPr>
      </w:pPr>
      <w:hyperlink r:id="rId16" w:history="1">
        <w:r w:rsidR="000C3D7C" w:rsidRPr="000C3D7C">
          <w:rPr>
            <w:rStyle w:val="Hyperlink"/>
            <w:rFonts w:ascii="Calibri" w:eastAsia="Calibri" w:hAnsi="Calibri" w:cs="Times New Roman"/>
          </w:rPr>
          <w:t>Summary of the HIPAA Privacy Rule</w:t>
        </w:r>
      </w:hyperlink>
      <w:r w:rsidR="000C3D7C">
        <w:rPr>
          <w:rFonts w:ascii="Calibri" w:eastAsia="Calibri" w:hAnsi="Calibri" w:cs="Times New Roman"/>
        </w:rPr>
        <w:t xml:space="preserve"> </w:t>
      </w:r>
      <w:r w:rsidR="00583710">
        <w:rPr>
          <w:rFonts w:ascii="Calibri" w:eastAsia="Calibri" w:hAnsi="Calibri" w:cs="Times New Roman"/>
        </w:rPr>
        <w:t xml:space="preserve">HHS </w:t>
      </w:r>
      <w:r w:rsidR="000C3D7C">
        <w:rPr>
          <w:rFonts w:ascii="Calibri" w:eastAsia="Calibri" w:hAnsi="Calibri" w:cs="Times New Roman"/>
        </w:rPr>
        <w:t xml:space="preserve">– Office for Civil Rights </w:t>
      </w:r>
      <w:r w:rsidR="00583710">
        <w:rPr>
          <w:rFonts w:ascii="Calibri" w:eastAsia="Calibri" w:hAnsi="Calibri" w:cs="Times New Roman"/>
        </w:rPr>
        <w:t xml:space="preserve">Summary HIPAA Privacy document </w:t>
      </w:r>
      <w:r w:rsidR="000C3D7C">
        <w:rPr>
          <w:rFonts w:ascii="Calibri" w:eastAsia="Calibri" w:hAnsi="Calibri" w:cs="Times New Roman"/>
        </w:rPr>
        <w:t>(this link is to a PDF document that includes references to specific sections of the Code of Federal Regulations)</w:t>
      </w:r>
    </w:p>
    <w:p w14:paraId="42110CC3" w14:textId="74FC90C3" w:rsidR="00661C7D" w:rsidRDefault="00000000" w:rsidP="000C3D7C">
      <w:pPr>
        <w:spacing w:after="0" w:line="240" w:lineRule="auto"/>
        <w:rPr>
          <w:rFonts w:ascii="Calibri" w:eastAsia="Calibri" w:hAnsi="Calibri" w:cs="Times New Roman"/>
        </w:rPr>
      </w:pPr>
      <w:hyperlink r:id="rId17" w:history="1">
        <w:r w:rsidR="00661C7D" w:rsidRPr="00661C7D">
          <w:rPr>
            <w:rStyle w:val="Hyperlink"/>
            <w:rFonts w:ascii="Calibri" w:eastAsia="Calibri" w:hAnsi="Calibri" w:cs="Times New Roman"/>
          </w:rPr>
          <w:t>Guidance Regarding Methods for De-Identification of PHI in accordance with HIPAA</w:t>
        </w:r>
      </w:hyperlink>
    </w:p>
    <w:p w14:paraId="7F1DFD3A" w14:textId="39C144E9" w:rsidR="00661C7D" w:rsidRDefault="00000000" w:rsidP="000C3D7C">
      <w:pPr>
        <w:spacing w:after="0" w:line="240" w:lineRule="auto"/>
        <w:rPr>
          <w:rFonts w:ascii="Calibri" w:eastAsia="Calibri" w:hAnsi="Calibri" w:cs="Times New Roman"/>
        </w:rPr>
      </w:pPr>
      <w:hyperlink r:id="rId18" w:history="1">
        <w:r w:rsidR="00607CE8">
          <w:rPr>
            <w:rStyle w:val="Hyperlink"/>
            <w:rFonts w:ascii="Calibri" w:eastAsia="Calibri" w:hAnsi="Calibri" w:cs="Times New Roman"/>
          </w:rPr>
          <w:t>Protecting Personal Health Information in Research</w:t>
        </w:r>
        <w:r w:rsidR="003E5A82">
          <w:rPr>
            <w:rStyle w:val="Hyperlink"/>
            <w:rFonts w:ascii="Calibri" w:eastAsia="Calibri" w:hAnsi="Calibri" w:cs="Times New Roman"/>
          </w:rPr>
          <w:t xml:space="preserve">: Understanding the HIPAA Privacy Rule </w:t>
        </w:r>
        <w:r w:rsidR="00607CE8" w:rsidRPr="00607CE8">
          <w:rPr>
            <w:rStyle w:val="Hyperlink"/>
            <w:rFonts w:ascii="Calibri" w:eastAsia="Calibri" w:hAnsi="Calibri" w:cs="Times New Roman"/>
          </w:rPr>
          <w:t>(NIH)</w:t>
        </w:r>
      </w:hyperlink>
    </w:p>
    <w:sectPr w:rsidR="00661C7D" w:rsidSect="00683ED8">
      <w:pgSz w:w="12240" w:h="15840"/>
      <w:pgMar w:top="90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63F45" w14:textId="77777777" w:rsidR="000023FF" w:rsidRDefault="000023FF" w:rsidP="00072AA1">
      <w:pPr>
        <w:spacing w:after="0" w:line="240" w:lineRule="auto"/>
      </w:pPr>
      <w:r>
        <w:separator/>
      </w:r>
    </w:p>
  </w:endnote>
  <w:endnote w:type="continuationSeparator" w:id="0">
    <w:p w14:paraId="53C6F354" w14:textId="77777777" w:rsidR="000023FF" w:rsidRDefault="000023FF" w:rsidP="0007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6679E" w14:textId="77777777" w:rsidR="000023FF" w:rsidRDefault="000023FF" w:rsidP="00072AA1">
      <w:pPr>
        <w:spacing w:after="0" w:line="240" w:lineRule="auto"/>
      </w:pPr>
      <w:r>
        <w:separator/>
      </w:r>
    </w:p>
  </w:footnote>
  <w:footnote w:type="continuationSeparator" w:id="0">
    <w:p w14:paraId="73EC9F92" w14:textId="77777777" w:rsidR="000023FF" w:rsidRDefault="000023FF" w:rsidP="00072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63B"/>
    <w:multiLevelType w:val="hybridMultilevel"/>
    <w:tmpl w:val="52AE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61518"/>
    <w:multiLevelType w:val="hybridMultilevel"/>
    <w:tmpl w:val="B7F02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B23EE"/>
    <w:multiLevelType w:val="hybridMultilevel"/>
    <w:tmpl w:val="4656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B2C98"/>
    <w:multiLevelType w:val="hybridMultilevel"/>
    <w:tmpl w:val="06F2F62E"/>
    <w:lvl w:ilvl="0" w:tplc="429A9F4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9D6073B"/>
    <w:multiLevelType w:val="hybridMultilevel"/>
    <w:tmpl w:val="323A5890"/>
    <w:lvl w:ilvl="0" w:tplc="429A9F4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6313F2"/>
    <w:multiLevelType w:val="hybridMultilevel"/>
    <w:tmpl w:val="E8801AD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3CF834E8"/>
    <w:multiLevelType w:val="hybridMultilevel"/>
    <w:tmpl w:val="DA7AF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E372F"/>
    <w:multiLevelType w:val="hybridMultilevel"/>
    <w:tmpl w:val="52AE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32822"/>
    <w:multiLevelType w:val="hybridMultilevel"/>
    <w:tmpl w:val="93DE1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EC07BD"/>
    <w:multiLevelType w:val="hybridMultilevel"/>
    <w:tmpl w:val="3264AC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C76FD1"/>
    <w:multiLevelType w:val="hybridMultilevel"/>
    <w:tmpl w:val="C386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D76F5"/>
    <w:multiLevelType w:val="hybridMultilevel"/>
    <w:tmpl w:val="ACAEFD70"/>
    <w:lvl w:ilvl="0" w:tplc="47501DE6">
      <w:start w:val="1"/>
      <w:numFmt w:val="decimal"/>
      <w:lvlText w:val="%1."/>
      <w:lvlJc w:val="left"/>
      <w:pPr>
        <w:tabs>
          <w:tab w:val="num" w:pos="720"/>
        </w:tabs>
        <w:ind w:left="720" w:hanging="360"/>
      </w:pPr>
    </w:lvl>
    <w:lvl w:ilvl="1" w:tplc="4C1EA83A" w:tentative="1">
      <w:start w:val="1"/>
      <w:numFmt w:val="decimal"/>
      <w:lvlText w:val="%2."/>
      <w:lvlJc w:val="left"/>
      <w:pPr>
        <w:tabs>
          <w:tab w:val="num" w:pos="1440"/>
        </w:tabs>
        <w:ind w:left="1440" w:hanging="360"/>
      </w:pPr>
    </w:lvl>
    <w:lvl w:ilvl="2" w:tplc="3950319A" w:tentative="1">
      <w:start w:val="1"/>
      <w:numFmt w:val="decimal"/>
      <w:lvlText w:val="%3."/>
      <w:lvlJc w:val="left"/>
      <w:pPr>
        <w:tabs>
          <w:tab w:val="num" w:pos="2160"/>
        </w:tabs>
        <w:ind w:left="2160" w:hanging="360"/>
      </w:pPr>
    </w:lvl>
    <w:lvl w:ilvl="3" w:tplc="482ADB5E" w:tentative="1">
      <w:start w:val="1"/>
      <w:numFmt w:val="decimal"/>
      <w:lvlText w:val="%4."/>
      <w:lvlJc w:val="left"/>
      <w:pPr>
        <w:tabs>
          <w:tab w:val="num" w:pos="2880"/>
        </w:tabs>
        <w:ind w:left="2880" w:hanging="360"/>
      </w:pPr>
    </w:lvl>
    <w:lvl w:ilvl="4" w:tplc="3D788572" w:tentative="1">
      <w:start w:val="1"/>
      <w:numFmt w:val="decimal"/>
      <w:lvlText w:val="%5."/>
      <w:lvlJc w:val="left"/>
      <w:pPr>
        <w:tabs>
          <w:tab w:val="num" w:pos="3600"/>
        </w:tabs>
        <w:ind w:left="3600" w:hanging="360"/>
      </w:pPr>
    </w:lvl>
    <w:lvl w:ilvl="5" w:tplc="013E135E" w:tentative="1">
      <w:start w:val="1"/>
      <w:numFmt w:val="decimal"/>
      <w:lvlText w:val="%6."/>
      <w:lvlJc w:val="left"/>
      <w:pPr>
        <w:tabs>
          <w:tab w:val="num" w:pos="4320"/>
        </w:tabs>
        <w:ind w:left="4320" w:hanging="360"/>
      </w:pPr>
    </w:lvl>
    <w:lvl w:ilvl="6" w:tplc="6E6A546E" w:tentative="1">
      <w:start w:val="1"/>
      <w:numFmt w:val="decimal"/>
      <w:lvlText w:val="%7."/>
      <w:lvlJc w:val="left"/>
      <w:pPr>
        <w:tabs>
          <w:tab w:val="num" w:pos="5040"/>
        </w:tabs>
        <w:ind w:left="5040" w:hanging="360"/>
      </w:pPr>
    </w:lvl>
    <w:lvl w:ilvl="7" w:tplc="5C62B8C0" w:tentative="1">
      <w:start w:val="1"/>
      <w:numFmt w:val="decimal"/>
      <w:lvlText w:val="%8."/>
      <w:lvlJc w:val="left"/>
      <w:pPr>
        <w:tabs>
          <w:tab w:val="num" w:pos="5760"/>
        </w:tabs>
        <w:ind w:left="5760" w:hanging="360"/>
      </w:pPr>
    </w:lvl>
    <w:lvl w:ilvl="8" w:tplc="19DED586" w:tentative="1">
      <w:start w:val="1"/>
      <w:numFmt w:val="decimal"/>
      <w:lvlText w:val="%9."/>
      <w:lvlJc w:val="left"/>
      <w:pPr>
        <w:tabs>
          <w:tab w:val="num" w:pos="6480"/>
        </w:tabs>
        <w:ind w:left="6480" w:hanging="360"/>
      </w:pPr>
    </w:lvl>
  </w:abstractNum>
  <w:abstractNum w:abstractNumId="12" w15:restartNumberingAfterBreak="0">
    <w:nsid w:val="650666AD"/>
    <w:multiLevelType w:val="hybridMultilevel"/>
    <w:tmpl w:val="95DCB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626812"/>
    <w:multiLevelType w:val="hybridMultilevel"/>
    <w:tmpl w:val="72B64BDA"/>
    <w:lvl w:ilvl="0" w:tplc="429A9F4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4689D"/>
    <w:multiLevelType w:val="hybridMultilevel"/>
    <w:tmpl w:val="443ACF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BF4CC9"/>
    <w:multiLevelType w:val="hybridMultilevel"/>
    <w:tmpl w:val="FCF8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2F36"/>
    <w:multiLevelType w:val="hybridMultilevel"/>
    <w:tmpl w:val="A7D40A2A"/>
    <w:lvl w:ilvl="0" w:tplc="429A9F42">
      <w:start w:val="1"/>
      <w:numFmt w:val="bullet"/>
      <w:lvlText w:val=""/>
      <w:lvlJc w:val="left"/>
      <w:pPr>
        <w:tabs>
          <w:tab w:val="num" w:pos="720"/>
        </w:tabs>
        <w:ind w:left="720" w:hanging="360"/>
      </w:pPr>
      <w:rPr>
        <w:rFonts w:ascii="Wingdings" w:hAnsi="Wingdings" w:hint="default"/>
      </w:rPr>
    </w:lvl>
    <w:lvl w:ilvl="1" w:tplc="1AE4EDEE" w:tentative="1">
      <w:start w:val="1"/>
      <w:numFmt w:val="bullet"/>
      <w:lvlText w:val=""/>
      <w:lvlJc w:val="left"/>
      <w:pPr>
        <w:tabs>
          <w:tab w:val="num" w:pos="1440"/>
        </w:tabs>
        <w:ind w:left="1440" w:hanging="360"/>
      </w:pPr>
      <w:rPr>
        <w:rFonts w:ascii="Wingdings" w:hAnsi="Wingdings" w:hint="default"/>
      </w:rPr>
    </w:lvl>
    <w:lvl w:ilvl="2" w:tplc="5420A53C" w:tentative="1">
      <w:start w:val="1"/>
      <w:numFmt w:val="bullet"/>
      <w:lvlText w:val=""/>
      <w:lvlJc w:val="left"/>
      <w:pPr>
        <w:tabs>
          <w:tab w:val="num" w:pos="2160"/>
        </w:tabs>
        <w:ind w:left="2160" w:hanging="360"/>
      </w:pPr>
      <w:rPr>
        <w:rFonts w:ascii="Wingdings" w:hAnsi="Wingdings" w:hint="default"/>
      </w:rPr>
    </w:lvl>
    <w:lvl w:ilvl="3" w:tplc="7E645176" w:tentative="1">
      <w:start w:val="1"/>
      <w:numFmt w:val="bullet"/>
      <w:lvlText w:val=""/>
      <w:lvlJc w:val="left"/>
      <w:pPr>
        <w:tabs>
          <w:tab w:val="num" w:pos="2880"/>
        </w:tabs>
        <w:ind w:left="2880" w:hanging="360"/>
      </w:pPr>
      <w:rPr>
        <w:rFonts w:ascii="Wingdings" w:hAnsi="Wingdings" w:hint="default"/>
      </w:rPr>
    </w:lvl>
    <w:lvl w:ilvl="4" w:tplc="7528E5DA" w:tentative="1">
      <w:start w:val="1"/>
      <w:numFmt w:val="bullet"/>
      <w:lvlText w:val=""/>
      <w:lvlJc w:val="left"/>
      <w:pPr>
        <w:tabs>
          <w:tab w:val="num" w:pos="3600"/>
        </w:tabs>
        <w:ind w:left="3600" w:hanging="360"/>
      </w:pPr>
      <w:rPr>
        <w:rFonts w:ascii="Wingdings" w:hAnsi="Wingdings" w:hint="default"/>
      </w:rPr>
    </w:lvl>
    <w:lvl w:ilvl="5" w:tplc="86EA4D0E" w:tentative="1">
      <w:start w:val="1"/>
      <w:numFmt w:val="bullet"/>
      <w:lvlText w:val=""/>
      <w:lvlJc w:val="left"/>
      <w:pPr>
        <w:tabs>
          <w:tab w:val="num" w:pos="4320"/>
        </w:tabs>
        <w:ind w:left="4320" w:hanging="360"/>
      </w:pPr>
      <w:rPr>
        <w:rFonts w:ascii="Wingdings" w:hAnsi="Wingdings" w:hint="default"/>
      </w:rPr>
    </w:lvl>
    <w:lvl w:ilvl="6" w:tplc="6158F122" w:tentative="1">
      <w:start w:val="1"/>
      <w:numFmt w:val="bullet"/>
      <w:lvlText w:val=""/>
      <w:lvlJc w:val="left"/>
      <w:pPr>
        <w:tabs>
          <w:tab w:val="num" w:pos="5040"/>
        </w:tabs>
        <w:ind w:left="5040" w:hanging="360"/>
      </w:pPr>
      <w:rPr>
        <w:rFonts w:ascii="Wingdings" w:hAnsi="Wingdings" w:hint="default"/>
      </w:rPr>
    </w:lvl>
    <w:lvl w:ilvl="7" w:tplc="3D681C52" w:tentative="1">
      <w:start w:val="1"/>
      <w:numFmt w:val="bullet"/>
      <w:lvlText w:val=""/>
      <w:lvlJc w:val="left"/>
      <w:pPr>
        <w:tabs>
          <w:tab w:val="num" w:pos="5760"/>
        </w:tabs>
        <w:ind w:left="5760" w:hanging="360"/>
      </w:pPr>
      <w:rPr>
        <w:rFonts w:ascii="Wingdings" w:hAnsi="Wingdings" w:hint="default"/>
      </w:rPr>
    </w:lvl>
    <w:lvl w:ilvl="8" w:tplc="FE12C372" w:tentative="1">
      <w:start w:val="1"/>
      <w:numFmt w:val="bullet"/>
      <w:lvlText w:val=""/>
      <w:lvlJc w:val="left"/>
      <w:pPr>
        <w:tabs>
          <w:tab w:val="num" w:pos="6480"/>
        </w:tabs>
        <w:ind w:left="6480" w:hanging="360"/>
      </w:pPr>
      <w:rPr>
        <w:rFonts w:ascii="Wingdings" w:hAnsi="Wingdings" w:hint="default"/>
      </w:rPr>
    </w:lvl>
  </w:abstractNum>
  <w:num w:numId="1" w16cid:durableId="1750612286">
    <w:abstractNumId w:val="5"/>
  </w:num>
  <w:num w:numId="2" w16cid:durableId="580337181">
    <w:abstractNumId w:val="15"/>
  </w:num>
  <w:num w:numId="3" w16cid:durableId="651058637">
    <w:abstractNumId w:val="0"/>
  </w:num>
  <w:num w:numId="4" w16cid:durableId="948512759">
    <w:abstractNumId w:val="1"/>
  </w:num>
  <w:num w:numId="5" w16cid:durableId="1097407848">
    <w:abstractNumId w:val="12"/>
  </w:num>
  <w:num w:numId="6" w16cid:durableId="146020214">
    <w:abstractNumId w:val="7"/>
  </w:num>
  <w:num w:numId="7" w16cid:durableId="1749617956">
    <w:abstractNumId w:val="11"/>
  </w:num>
  <w:num w:numId="8" w16cid:durableId="1464810143">
    <w:abstractNumId w:val="16"/>
  </w:num>
  <w:num w:numId="9" w16cid:durableId="2121678630">
    <w:abstractNumId w:val="2"/>
  </w:num>
  <w:num w:numId="10" w16cid:durableId="1843624805">
    <w:abstractNumId w:val="10"/>
  </w:num>
  <w:num w:numId="11" w16cid:durableId="1227030680">
    <w:abstractNumId w:val="8"/>
  </w:num>
  <w:num w:numId="12" w16cid:durableId="1555894836">
    <w:abstractNumId w:val="4"/>
  </w:num>
  <w:num w:numId="13" w16cid:durableId="1126970108">
    <w:abstractNumId w:val="13"/>
  </w:num>
  <w:num w:numId="14" w16cid:durableId="1313868038">
    <w:abstractNumId w:val="3"/>
  </w:num>
  <w:num w:numId="15" w16cid:durableId="914164385">
    <w:abstractNumId w:val="9"/>
  </w:num>
  <w:num w:numId="16" w16cid:durableId="1335958725">
    <w:abstractNumId w:val="6"/>
  </w:num>
  <w:num w:numId="17" w16cid:durableId="16119391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260"/>
    <w:rsid w:val="000023FF"/>
    <w:rsid w:val="00006A0C"/>
    <w:rsid w:val="00072AA1"/>
    <w:rsid w:val="000C3D7C"/>
    <w:rsid w:val="00101CA4"/>
    <w:rsid w:val="001B645B"/>
    <w:rsid w:val="001C47F5"/>
    <w:rsid w:val="001D0078"/>
    <w:rsid w:val="001F6C26"/>
    <w:rsid w:val="00217BFE"/>
    <w:rsid w:val="0024759F"/>
    <w:rsid w:val="00256096"/>
    <w:rsid w:val="002A2DDD"/>
    <w:rsid w:val="002F0217"/>
    <w:rsid w:val="00345FF3"/>
    <w:rsid w:val="00355412"/>
    <w:rsid w:val="0038428C"/>
    <w:rsid w:val="003A0E95"/>
    <w:rsid w:val="003C3D8E"/>
    <w:rsid w:val="003D6E63"/>
    <w:rsid w:val="003E5A82"/>
    <w:rsid w:val="00416C77"/>
    <w:rsid w:val="0049706A"/>
    <w:rsid w:val="004C2E04"/>
    <w:rsid w:val="004C42F1"/>
    <w:rsid w:val="004E4806"/>
    <w:rsid w:val="004F1241"/>
    <w:rsid w:val="00505260"/>
    <w:rsid w:val="00546B42"/>
    <w:rsid w:val="00583710"/>
    <w:rsid w:val="005A3A61"/>
    <w:rsid w:val="005E5F8D"/>
    <w:rsid w:val="005F46EB"/>
    <w:rsid w:val="00601F82"/>
    <w:rsid w:val="00607CE8"/>
    <w:rsid w:val="00661C7D"/>
    <w:rsid w:val="006643B2"/>
    <w:rsid w:val="00672AC9"/>
    <w:rsid w:val="00683ED8"/>
    <w:rsid w:val="006F38D3"/>
    <w:rsid w:val="00701A24"/>
    <w:rsid w:val="00721E0B"/>
    <w:rsid w:val="00760FC5"/>
    <w:rsid w:val="007E267E"/>
    <w:rsid w:val="007F51FF"/>
    <w:rsid w:val="00815E3E"/>
    <w:rsid w:val="00857E54"/>
    <w:rsid w:val="00875C45"/>
    <w:rsid w:val="00877370"/>
    <w:rsid w:val="008D79AE"/>
    <w:rsid w:val="008F5C46"/>
    <w:rsid w:val="0092380E"/>
    <w:rsid w:val="00973859"/>
    <w:rsid w:val="00A06A40"/>
    <w:rsid w:val="00A70D5F"/>
    <w:rsid w:val="00A97241"/>
    <w:rsid w:val="00AF2088"/>
    <w:rsid w:val="00B4657D"/>
    <w:rsid w:val="00B504E1"/>
    <w:rsid w:val="00B809D9"/>
    <w:rsid w:val="00C6501A"/>
    <w:rsid w:val="00CB7FC7"/>
    <w:rsid w:val="00CD2209"/>
    <w:rsid w:val="00D42003"/>
    <w:rsid w:val="00D42FF3"/>
    <w:rsid w:val="00D43009"/>
    <w:rsid w:val="00D6630B"/>
    <w:rsid w:val="00DC19AB"/>
    <w:rsid w:val="00DC3E24"/>
    <w:rsid w:val="00DF57A0"/>
    <w:rsid w:val="00E90182"/>
    <w:rsid w:val="00EC2C92"/>
    <w:rsid w:val="00ED3E8E"/>
    <w:rsid w:val="00F03976"/>
    <w:rsid w:val="00F2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69ED"/>
  <w15:chartTrackingRefBased/>
  <w15:docId w15:val="{0CCFE433-5D92-46D0-AAF6-A8730FF6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5C45"/>
    <w:rPr>
      <w:sz w:val="16"/>
      <w:szCs w:val="16"/>
    </w:rPr>
  </w:style>
  <w:style w:type="paragraph" w:styleId="CommentText">
    <w:name w:val="annotation text"/>
    <w:basedOn w:val="Normal"/>
    <w:link w:val="CommentTextChar"/>
    <w:uiPriority w:val="99"/>
    <w:semiHidden/>
    <w:unhideWhenUsed/>
    <w:rsid w:val="00875C45"/>
    <w:pPr>
      <w:spacing w:line="240" w:lineRule="auto"/>
    </w:pPr>
    <w:rPr>
      <w:sz w:val="20"/>
      <w:szCs w:val="20"/>
    </w:rPr>
  </w:style>
  <w:style w:type="character" w:customStyle="1" w:styleId="CommentTextChar">
    <w:name w:val="Comment Text Char"/>
    <w:basedOn w:val="DefaultParagraphFont"/>
    <w:link w:val="CommentText"/>
    <w:uiPriority w:val="99"/>
    <w:semiHidden/>
    <w:rsid w:val="00875C45"/>
    <w:rPr>
      <w:sz w:val="20"/>
      <w:szCs w:val="20"/>
    </w:rPr>
  </w:style>
  <w:style w:type="paragraph" w:styleId="CommentSubject">
    <w:name w:val="annotation subject"/>
    <w:basedOn w:val="CommentText"/>
    <w:next w:val="CommentText"/>
    <w:link w:val="CommentSubjectChar"/>
    <w:uiPriority w:val="99"/>
    <w:semiHidden/>
    <w:unhideWhenUsed/>
    <w:rsid w:val="00875C45"/>
    <w:rPr>
      <w:b/>
      <w:bCs/>
    </w:rPr>
  </w:style>
  <w:style w:type="character" w:customStyle="1" w:styleId="CommentSubjectChar">
    <w:name w:val="Comment Subject Char"/>
    <w:basedOn w:val="CommentTextChar"/>
    <w:link w:val="CommentSubject"/>
    <w:uiPriority w:val="99"/>
    <w:semiHidden/>
    <w:rsid w:val="00875C45"/>
    <w:rPr>
      <w:b/>
      <w:bCs/>
      <w:sz w:val="20"/>
      <w:szCs w:val="20"/>
    </w:rPr>
  </w:style>
  <w:style w:type="paragraph" w:styleId="BalloonText">
    <w:name w:val="Balloon Text"/>
    <w:basedOn w:val="Normal"/>
    <w:link w:val="BalloonTextChar"/>
    <w:uiPriority w:val="99"/>
    <w:semiHidden/>
    <w:unhideWhenUsed/>
    <w:rsid w:val="00875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C45"/>
    <w:rPr>
      <w:rFonts w:ascii="Segoe UI" w:hAnsi="Segoe UI" w:cs="Segoe UI"/>
      <w:sz w:val="18"/>
      <w:szCs w:val="18"/>
    </w:rPr>
  </w:style>
  <w:style w:type="paragraph" w:styleId="ListParagraph">
    <w:name w:val="List Paragraph"/>
    <w:basedOn w:val="Normal"/>
    <w:uiPriority w:val="34"/>
    <w:qFormat/>
    <w:rsid w:val="00815E3E"/>
    <w:pPr>
      <w:ind w:left="720"/>
      <w:contextualSpacing/>
    </w:pPr>
  </w:style>
  <w:style w:type="paragraph" w:styleId="FootnoteText">
    <w:name w:val="footnote text"/>
    <w:basedOn w:val="Normal"/>
    <w:link w:val="FootnoteTextChar"/>
    <w:uiPriority w:val="99"/>
    <w:semiHidden/>
    <w:unhideWhenUsed/>
    <w:rsid w:val="00072A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AA1"/>
    <w:rPr>
      <w:sz w:val="20"/>
      <w:szCs w:val="20"/>
    </w:rPr>
  </w:style>
  <w:style w:type="character" w:styleId="FootnoteReference">
    <w:name w:val="footnote reference"/>
    <w:basedOn w:val="DefaultParagraphFont"/>
    <w:uiPriority w:val="99"/>
    <w:semiHidden/>
    <w:unhideWhenUsed/>
    <w:rsid w:val="00072AA1"/>
    <w:rPr>
      <w:vertAlign w:val="superscript"/>
    </w:rPr>
  </w:style>
  <w:style w:type="table" w:styleId="TableGrid">
    <w:name w:val="Table Grid"/>
    <w:basedOn w:val="TableNormal"/>
    <w:uiPriority w:val="39"/>
    <w:rsid w:val="0097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3D7C"/>
    <w:rPr>
      <w:color w:val="0563C1" w:themeColor="hyperlink"/>
      <w:u w:val="single"/>
    </w:rPr>
  </w:style>
  <w:style w:type="character" w:styleId="FollowedHyperlink">
    <w:name w:val="FollowedHyperlink"/>
    <w:basedOn w:val="DefaultParagraphFont"/>
    <w:uiPriority w:val="99"/>
    <w:semiHidden/>
    <w:unhideWhenUsed/>
    <w:rsid w:val="00546B42"/>
    <w:rPr>
      <w:color w:val="954F72" w:themeColor="followedHyperlink"/>
      <w:u w:val="single"/>
    </w:rPr>
  </w:style>
  <w:style w:type="character" w:styleId="UnresolvedMention">
    <w:name w:val="Unresolved Mention"/>
    <w:basedOn w:val="DefaultParagraphFont"/>
    <w:uiPriority w:val="99"/>
    <w:semiHidden/>
    <w:unhideWhenUsed/>
    <w:rsid w:val="006F3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6335">
      <w:bodyDiv w:val="1"/>
      <w:marLeft w:val="0"/>
      <w:marRight w:val="0"/>
      <w:marTop w:val="0"/>
      <w:marBottom w:val="0"/>
      <w:divBdr>
        <w:top w:val="none" w:sz="0" w:space="0" w:color="auto"/>
        <w:left w:val="none" w:sz="0" w:space="0" w:color="auto"/>
        <w:bottom w:val="none" w:sz="0" w:space="0" w:color="auto"/>
        <w:right w:val="none" w:sz="0" w:space="0" w:color="auto"/>
      </w:divBdr>
      <w:divsChild>
        <w:div w:id="1834368988">
          <w:marLeft w:val="547"/>
          <w:marRight w:val="0"/>
          <w:marTop w:val="200"/>
          <w:marBottom w:val="0"/>
          <w:divBdr>
            <w:top w:val="none" w:sz="0" w:space="0" w:color="auto"/>
            <w:left w:val="none" w:sz="0" w:space="0" w:color="auto"/>
            <w:bottom w:val="none" w:sz="0" w:space="0" w:color="auto"/>
            <w:right w:val="none" w:sz="0" w:space="0" w:color="auto"/>
          </w:divBdr>
        </w:div>
      </w:divsChild>
    </w:div>
    <w:div w:id="73943259">
      <w:bodyDiv w:val="1"/>
      <w:marLeft w:val="0"/>
      <w:marRight w:val="0"/>
      <w:marTop w:val="0"/>
      <w:marBottom w:val="0"/>
      <w:divBdr>
        <w:top w:val="none" w:sz="0" w:space="0" w:color="auto"/>
        <w:left w:val="none" w:sz="0" w:space="0" w:color="auto"/>
        <w:bottom w:val="none" w:sz="0" w:space="0" w:color="auto"/>
        <w:right w:val="none" w:sz="0" w:space="0" w:color="auto"/>
      </w:divBdr>
    </w:div>
    <w:div w:id="103036863">
      <w:bodyDiv w:val="1"/>
      <w:marLeft w:val="0"/>
      <w:marRight w:val="0"/>
      <w:marTop w:val="0"/>
      <w:marBottom w:val="0"/>
      <w:divBdr>
        <w:top w:val="none" w:sz="0" w:space="0" w:color="auto"/>
        <w:left w:val="none" w:sz="0" w:space="0" w:color="auto"/>
        <w:bottom w:val="none" w:sz="0" w:space="0" w:color="auto"/>
        <w:right w:val="none" w:sz="0" w:space="0" w:color="auto"/>
      </w:divBdr>
      <w:divsChild>
        <w:div w:id="1596746780">
          <w:marLeft w:val="288"/>
          <w:marRight w:val="202"/>
          <w:marTop w:val="50"/>
          <w:marBottom w:val="0"/>
          <w:divBdr>
            <w:top w:val="none" w:sz="0" w:space="0" w:color="auto"/>
            <w:left w:val="none" w:sz="0" w:space="0" w:color="auto"/>
            <w:bottom w:val="none" w:sz="0" w:space="0" w:color="auto"/>
            <w:right w:val="none" w:sz="0" w:space="0" w:color="auto"/>
          </w:divBdr>
        </w:div>
        <w:div w:id="1416436761">
          <w:marLeft w:val="288"/>
          <w:marRight w:val="0"/>
          <w:marTop w:val="50"/>
          <w:marBottom w:val="0"/>
          <w:divBdr>
            <w:top w:val="none" w:sz="0" w:space="0" w:color="auto"/>
            <w:left w:val="none" w:sz="0" w:space="0" w:color="auto"/>
            <w:bottom w:val="none" w:sz="0" w:space="0" w:color="auto"/>
            <w:right w:val="none" w:sz="0" w:space="0" w:color="auto"/>
          </w:divBdr>
        </w:div>
      </w:divsChild>
    </w:div>
    <w:div w:id="1303658083">
      <w:bodyDiv w:val="1"/>
      <w:marLeft w:val="0"/>
      <w:marRight w:val="0"/>
      <w:marTop w:val="0"/>
      <w:marBottom w:val="0"/>
      <w:divBdr>
        <w:top w:val="none" w:sz="0" w:space="0" w:color="auto"/>
        <w:left w:val="none" w:sz="0" w:space="0" w:color="auto"/>
        <w:bottom w:val="none" w:sz="0" w:space="0" w:color="auto"/>
        <w:right w:val="none" w:sz="0" w:space="0" w:color="auto"/>
      </w:divBdr>
      <w:divsChild>
        <w:div w:id="780534543">
          <w:marLeft w:val="547"/>
          <w:marRight w:val="0"/>
          <w:marTop w:val="200"/>
          <w:marBottom w:val="0"/>
          <w:divBdr>
            <w:top w:val="none" w:sz="0" w:space="0" w:color="auto"/>
            <w:left w:val="none" w:sz="0" w:space="0" w:color="auto"/>
            <w:bottom w:val="none" w:sz="0" w:space="0" w:color="auto"/>
            <w:right w:val="none" w:sz="0" w:space="0" w:color="auto"/>
          </w:divBdr>
        </w:div>
        <w:div w:id="1873377604">
          <w:marLeft w:val="547"/>
          <w:marRight w:val="0"/>
          <w:marTop w:val="200"/>
          <w:marBottom w:val="0"/>
          <w:divBdr>
            <w:top w:val="none" w:sz="0" w:space="0" w:color="auto"/>
            <w:left w:val="none" w:sz="0" w:space="0" w:color="auto"/>
            <w:bottom w:val="none" w:sz="0" w:space="0" w:color="auto"/>
            <w:right w:val="none" w:sz="0" w:space="0" w:color="auto"/>
          </w:divBdr>
        </w:div>
        <w:div w:id="985160429">
          <w:marLeft w:val="547"/>
          <w:marRight w:val="0"/>
          <w:marTop w:val="200"/>
          <w:marBottom w:val="0"/>
          <w:divBdr>
            <w:top w:val="none" w:sz="0" w:space="0" w:color="auto"/>
            <w:left w:val="none" w:sz="0" w:space="0" w:color="auto"/>
            <w:bottom w:val="none" w:sz="0" w:space="0" w:color="auto"/>
            <w:right w:val="none" w:sz="0" w:space="0" w:color="auto"/>
          </w:divBdr>
        </w:div>
        <w:div w:id="1439838901">
          <w:marLeft w:val="547"/>
          <w:marRight w:val="0"/>
          <w:marTop w:val="200"/>
          <w:marBottom w:val="0"/>
          <w:divBdr>
            <w:top w:val="none" w:sz="0" w:space="0" w:color="auto"/>
            <w:left w:val="none" w:sz="0" w:space="0" w:color="auto"/>
            <w:bottom w:val="none" w:sz="0" w:space="0" w:color="auto"/>
            <w:right w:val="none" w:sz="0" w:space="0" w:color="auto"/>
          </w:divBdr>
        </w:div>
        <w:div w:id="1373113210">
          <w:marLeft w:val="547"/>
          <w:marRight w:val="0"/>
          <w:marTop w:val="200"/>
          <w:marBottom w:val="0"/>
          <w:divBdr>
            <w:top w:val="none" w:sz="0" w:space="0" w:color="auto"/>
            <w:left w:val="none" w:sz="0" w:space="0" w:color="auto"/>
            <w:bottom w:val="none" w:sz="0" w:space="0" w:color="auto"/>
            <w:right w:val="none" w:sz="0" w:space="0" w:color="auto"/>
          </w:divBdr>
        </w:div>
      </w:divsChild>
    </w:div>
    <w:div w:id="1749764937">
      <w:bodyDiv w:val="1"/>
      <w:marLeft w:val="0"/>
      <w:marRight w:val="0"/>
      <w:marTop w:val="0"/>
      <w:marBottom w:val="0"/>
      <w:divBdr>
        <w:top w:val="none" w:sz="0" w:space="0" w:color="auto"/>
        <w:left w:val="none" w:sz="0" w:space="0" w:color="auto"/>
        <w:bottom w:val="none" w:sz="0" w:space="0" w:color="auto"/>
        <w:right w:val="none" w:sz="0" w:space="0" w:color="auto"/>
      </w:divBdr>
      <w:divsChild>
        <w:div w:id="1964924277">
          <w:marLeft w:val="0"/>
          <w:marRight w:val="0"/>
          <w:marTop w:val="0"/>
          <w:marBottom w:val="0"/>
          <w:divBdr>
            <w:top w:val="none" w:sz="0" w:space="0" w:color="auto"/>
            <w:left w:val="none" w:sz="0" w:space="0" w:color="auto"/>
            <w:bottom w:val="none" w:sz="0" w:space="0" w:color="auto"/>
            <w:right w:val="none" w:sz="0" w:space="0" w:color="auto"/>
          </w:divBdr>
        </w:div>
        <w:div w:id="1850757317">
          <w:marLeft w:val="0"/>
          <w:marRight w:val="0"/>
          <w:marTop w:val="0"/>
          <w:marBottom w:val="0"/>
          <w:divBdr>
            <w:top w:val="none" w:sz="0" w:space="0" w:color="auto"/>
            <w:left w:val="none" w:sz="0" w:space="0" w:color="auto"/>
            <w:bottom w:val="none" w:sz="0" w:space="0" w:color="auto"/>
            <w:right w:val="none" w:sz="0" w:space="0" w:color="auto"/>
          </w:divBdr>
        </w:div>
        <w:div w:id="1083407069">
          <w:marLeft w:val="0"/>
          <w:marRight w:val="0"/>
          <w:marTop w:val="0"/>
          <w:marBottom w:val="0"/>
          <w:divBdr>
            <w:top w:val="none" w:sz="0" w:space="0" w:color="auto"/>
            <w:left w:val="none" w:sz="0" w:space="0" w:color="auto"/>
            <w:bottom w:val="none" w:sz="0" w:space="0" w:color="auto"/>
            <w:right w:val="none" w:sz="0" w:space="0" w:color="auto"/>
          </w:divBdr>
        </w:div>
        <w:div w:id="720253087">
          <w:marLeft w:val="0"/>
          <w:marRight w:val="0"/>
          <w:marTop w:val="0"/>
          <w:marBottom w:val="0"/>
          <w:divBdr>
            <w:top w:val="none" w:sz="0" w:space="0" w:color="auto"/>
            <w:left w:val="none" w:sz="0" w:space="0" w:color="auto"/>
            <w:bottom w:val="none" w:sz="0" w:space="0" w:color="auto"/>
            <w:right w:val="none" w:sz="0" w:space="0" w:color="auto"/>
          </w:divBdr>
        </w:div>
        <w:div w:id="1374113529">
          <w:marLeft w:val="0"/>
          <w:marRight w:val="0"/>
          <w:marTop w:val="0"/>
          <w:marBottom w:val="0"/>
          <w:divBdr>
            <w:top w:val="none" w:sz="0" w:space="0" w:color="auto"/>
            <w:left w:val="none" w:sz="0" w:space="0" w:color="auto"/>
            <w:bottom w:val="none" w:sz="0" w:space="0" w:color="auto"/>
            <w:right w:val="none" w:sz="0" w:space="0" w:color="auto"/>
          </w:divBdr>
        </w:div>
        <w:div w:id="1136098033">
          <w:marLeft w:val="0"/>
          <w:marRight w:val="0"/>
          <w:marTop w:val="0"/>
          <w:marBottom w:val="0"/>
          <w:divBdr>
            <w:top w:val="none" w:sz="0" w:space="0" w:color="auto"/>
            <w:left w:val="none" w:sz="0" w:space="0" w:color="auto"/>
            <w:bottom w:val="none" w:sz="0" w:space="0" w:color="auto"/>
            <w:right w:val="none" w:sz="0" w:space="0" w:color="auto"/>
          </w:divBdr>
        </w:div>
        <w:div w:id="674844412">
          <w:marLeft w:val="0"/>
          <w:marRight w:val="0"/>
          <w:marTop w:val="0"/>
          <w:marBottom w:val="0"/>
          <w:divBdr>
            <w:top w:val="none" w:sz="0" w:space="0" w:color="auto"/>
            <w:left w:val="none" w:sz="0" w:space="0" w:color="auto"/>
            <w:bottom w:val="none" w:sz="0" w:space="0" w:color="auto"/>
            <w:right w:val="none" w:sz="0" w:space="0" w:color="auto"/>
          </w:divBdr>
        </w:div>
        <w:div w:id="1056472617">
          <w:marLeft w:val="0"/>
          <w:marRight w:val="0"/>
          <w:marTop w:val="0"/>
          <w:marBottom w:val="0"/>
          <w:divBdr>
            <w:top w:val="none" w:sz="0" w:space="0" w:color="auto"/>
            <w:left w:val="none" w:sz="0" w:space="0" w:color="auto"/>
            <w:bottom w:val="none" w:sz="0" w:space="0" w:color="auto"/>
            <w:right w:val="none" w:sz="0" w:space="0" w:color="auto"/>
          </w:divBdr>
        </w:div>
        <w:div w:id="695038745">
          <w:marLeft w:val="0"/>
          <w:marRight w:val="0"/>
          <w:marTop w:val="0"/>
          <w:marBottom w:val="0"/>
          <w:divBdr>
            <w:top w:val="none" w:sz="0" w:space="0" w:color="auto"/>
            <w:left w:val="none" w:sz="0" w:space="0" w:color="auto"/>
            <w:bottom w:val="none" w:sz="0" w:space="0" w:color="auto"/>
            <w:right w:val="none" w:sz="0" w:space="0" w:color="auto"/>
          </w:divBdr>
        </w:div>
        <w:div w:id="522087743">
          <w:marLeft w:val="0"/>
          <w:marRight w:val="0"/>
          <w:marTop w:val="0"/>
          <w:marBottom w:val="0"/>
          <w:divBdr>
            <w:top w:val="none" w:sz="0" w:space="0" w:color="auto"/>
            <w:left w:val="none" w:sz="0" w:space="0" w:color="auto"/>
            <w:bottom w:val="none" w:sz="0" w:space="0" w:color="auto"/>
            <w:right w:val="none" w:sz="0" w:space="0" w:color="auto"/>
          </w:divBdr>
        </w:div>
        <w:div w:id="696126032">
          <w:marLeft w:val="0"/>
          <w:marRight w:val="0"/>
          <w:marTop w:val="0"/>
          <w:marBottom w:val="0"/>
          <w:divBdr>
            <w:top w:val="none" w:sz="0" w:space="0" w:color="auto"/>
            <w:left w:val="none" w:sz="0" w:space="0" w:color="auto"/>
            <w:bottom w:val="none" w:sz="0" w:space="0" w:color="auto"/>
            <w:right w:val="none" w:sz="0" w:space="0" w:color="auto"/>
          </w:divBdr>
        </w:div>
        <w:div w:id="592934490">
          <w:marLeft w:val="0"/>
          <w:marRight w:val="0"/>
          <w:marTop w:val="0"/>
          <w:marBottom w:val="0"/>
          <w:divBdr>
            <w:top w:val="none" w:sz="0" w:space="0" w:color="auto"/>
            <w:left w:val="none" w:sz="0" w:space="0" w:color="auto"/>
            <w:bottom w:val="none" w:sz="0" w:space="0" w:color="auto"/>
            <w:right w:val="none" w:sz="0" w:space="0" w:color="auto"/>
          </w:divBdr>
        </w:div>
        <w:div w:id="207305827">
          <w:marLeft w:val="0"/>
          <w:marRight w:val="0"/>
          <w:marTop w:val="0"/>
          <w:marBottom w:val="0"/>
          <w:divBdr>
            <w:top w:val="none" w:sz="0" w:space="0" w:color="auto"/>
            <w:left w:val="none" w:sz="0" w:space="0" w:color="auto"/>
            <w:bottom w:val="none" w:sz="0" w:space="0" w:color="auto"/>
            <w:right w:val="none" w:sz="0" w:space="0" w:color="auto"/>
          </w:divBdr>
        </w:div>
        <w:div w:id="1271277108">
          <w:marLeft w:val="0"/>
          <w:marRight w:val="0"/>
          <w:marTop w:val="0"/>
          <w:marBottom w:val="0"/>
          <w:divBdr>
            <w:top w:val="none" w:sz="0" w:space="0" w:color="auto"/>
            <w:left w:val="none" w:sz="0" w:space="0" w:color="auto"/>
            <w:bottom w:val="none" w:sz="0" w:space="0" w:color="auto"/>
            <w:right w:val="none" w:sz="0" w:space="0" w:color="auto"/>
          </w:divBdr>
        </w:div>
        <w:div w:id="535392295">
          <w:marLeft w:val="0"/>
          <w:marRight w:val="0"/>
          <w:marTop w:val="0"/>
          <w:marBottom w:val="0"/>
          <w:divBdr>
            <w:top w:val="none" w:sz="0" w:space="0" w:color="auto"/>
            <w:left w:val="none" w:sz="0" w:space="0" w:color="auto"/>
            <w:bottom w:val="none" w:sz="0" w:space="0" w:color="auto"/>
            <w:right w:val="none" w:sz="0" w:space="0" w:color="auto"/>
          </w:divBdr>
        </w:div>
        <w:div w:id="987636332">
          <w:marLeft w:val="0"/>
          <w:marRight w:val="0"/>
          <w:marTop w:val="0"/>
          <w:marBottom w:val="0"/>
          <w:divBdr>
            <w:top w:val="none" w:sz="0" w:space="0" w:color="auto"/>
            <w:left w:val="none" w:sz="0" w:space="0" w:color="auto"/>
            <w:bottom w:val="none" w:sz="0" w:space="0" w:color="auto"/>
            <w:right w:val="none" w:sz="0" w:space="0" w:color="auto"/>
          </w:divBdr>
        </w:div>
        <w:div w:id="1219054641">
          <w:marLeft w:val="0"/>
          <w:marRight w:val="0"/>
          <w:marTop w:val="0"/>
          <w:marBottom w:val="0"/>
          <w:divBdr>
            <w:top w:val="none" w:sz="0" w:space="0" w:color="auto"/>
            <w:left w:val="none" w:sz="0" w:space="0" w:color="auto"/>
            <w:bottom w:val="none" w:sz="0" w:space="0" w:color="auto"/>
            <w:right w:val="none" w:sz="0" w:space="0" w:color="auto"/>
          </w:divBdr>
        </w:div>
        <w:div w:id="161821201">
          <w:marLeft w:val="0"/>
          <w:marRight w:val="0"/>
          <w:marTop w:val="0"/>
          <w:marBottom w:val="0"/>
          <w:divBdr>
            <w:top w:val="none" w:sz="0" w:space="0" w:color="auto"/>
            <w:left w:val="none" w:sz="0" w:space="0" w:color="auto"/>
            <w:bottom w:val="none" w:sz="0" w:space="0" w:color="auto"/>
            <w:right w:val="none" w:sz="0" w:space="0" w:color="auto"/>
          </w:divBdr>
        </w:div>
        <w:div w:id="1141657852">
          <w:marLeft w:val="0"/>
          <w:marRight w:val="0"/>
          <w:marTop w:val="0"/>
          <w:marBottom w:val="0"/>
          <w:divBdr>
            <w:top w:val="none" w:sz="0" w:space="0" w:color="auto"/>
            <w:left w:val="none" w:sz="0" w:space="0" w:color="auto"/>
            <w:bottom w:val="none" w:sz="0" w:space="0" w:color="auto"/>
            <w:right w:val="none" w:sz="0" w:space="0" w:color="auto"/>
          </w:divBdr>
        </w:div>
      </w:divsChild>
    </w:div>
    <w:div w:id="207442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cuanschutz.edu/regulatory-compliance/home/hipaa/university-hipaa-policy" TargetMode="External"/><Relationship Id="rId18" Type="http://schemas.openxmlformats.org/officeDocument/2006/relationships/hyperlink" Target="https://privacyruleandresearch.nih.gov/pdf/HIPAA_Booklet_4-14-2003.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earch.cuanschutz.edu/regulatory-compliance" TargetMode="External"/><Relationship Id="rId17" Type="http://schemas.openxmlformats.org/officeDocument/2006/relationships/hyperlink" Target="http://www.hhs.gov/hipaa/for-professionals/privacy/special-topics/de-identification/index.html" TargetMode="External"/><Relationship Id="rId2" Type="http://schemas.openxmlformats.org/officeDocument/2006/relationships/customXml" Target="../customXml/item2.xml"/><Relationship Id="rId16" Type="http://schemas.openxmlformats.org/officeDocument/2006/relationships/hyperlink" Target="https://www.hhs.gov/sites/default/files/privacysummar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hs.gov/hipaa/for-professionals/faq/index.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u.edu/ope/aps/5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ow_x0020_on_x0020_Home_x0020_Page xmlns="dc39fd06-120c-440a-a102-510133f4bbc7">false</Show_x0020_on_x0020_Home_x0020_Page>
    <Intranet xmlns="dc39fd06-120c-440a-a102-510133f4bbc7">false</Intranet>
    <Weight xmlns="dc39fd06-120c-440a-a102-510133f4bbc7" xsi:nil="true"/>
    <Office xmlns="dc39fd06-120c-440a-a102-510133f4bbc7">
      <Value>11</Value>
    </Office>
    <Show_x0020_in_x0020_All_x0020_Documents xmlns="dc39fd06-120c-440a-a102-510133f4bbc7">false</Show_x0020_in_x0020_All_x0020_Docu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0B9161-5123-4228-947C-241B12F25C70}">
  <ds:schemaRefs>
    <ds:schemaRef ds:uri="http://schemas.openxmlformats.org/officeDocument/2006/bibliography"/>
  </ds:schemaRefs>
</ds:datastoreItem>
</file>

<file path=customXml/itemProps2.xml><?xml version="1.0" encoding="utf-8"?>
<ds:datastoreItem xmlns:ds="http://schemas.openxmlformats.org/officeDocument/2006/customXml" ds:itemID="{3C302636-CEED-4530-AED4-414EE0933446}">
  <ds:schemaRefs>
    <ds:schemaRef ds:uri="http://schemas.microsoft.com/office/2006/metadata/properties"/>
    <ds:schemaRef ds:uri="http://schemas.microsoft.com/office/infopath/2007/PartnerControls"/>
    <ds:schemaRef ds:uri="http://schemas.microsoft.com/sharepoint/v3"/>
    <ds:schemaRef ds:uri="dc39fd06-120c-440a-a102-510133f4bbc7"/>
  </ds:schemaRefs>
</ds:datastoreItem>
</file>

<file path=customXml/itemProps3.xml><?xml version="1.0" encoding="utf-8"?>
<ds:datastoreItem xmlns:ds="http://schemas.openxmlformats.org/officeDocument/2006/customXml" ds:itemID="{31464911-ABD2-4DFE-8348-D36D2D60E285}">
  <ds:schemaRefs>
    <ds:schemaRef ds:uri="http://schemas.microsoft.com/sharepoint/v3/contenttype/forms"/>
  </ds:schemaRefs>
</ds:datastoreItem>
</file>

<file path=customXml/itemProps4.xml><?xml version="1.0" encoding="utf-8"?>
<ds:datastoreItem xmlns:ds="http://schemas.openxmlformats.org/officeDocument/2006/customXml" ds:itemID="{C313B6FE-BFAF-46E4-8B56-FC70A79DF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Hopper, Lori</dc:creator>
  <cp:keywords/>
  <dc:description/>
  <cp:lastModifiedBy>Hopper, Lori</cp:lastModifiedBy>
  <cp:revision>13</cp:revision>
  <cp:lastPrinted>2016-07-19T14:06:00Z</cp:lastPrinted>
  <dcterms:created xsi:type="dcterms:W3CDTF">2023-08-30T17:18:00Z</dcterms:created>
  <dcterms:modified xsi:type="dcterms:W3CDTF">2023-08-30T17:30:00Z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0x0101008148780C36C2984196E9EDD20CCB2CB4</vt:lpwstr>
  </property>
</Properties>
</file>