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2B47" w14:textId="5BB8C4EC" w:rsidR="00354F06" w:rsidRDefault="005871B5">
      <w:r>
        <w:rPr>
          <w:noProof/>
        </w:rPr>
        <w:drawing>
          <wp:inline distT="0" distB="0" distL="0" distR="0" wp14:anchorId="4F2BAC89" wp14:editId="6137ECED">
            <wp:extent cx="3028950" cy="609856"/>
            <wp:effectExtent l="0" t="0" r="0" b="0"/>
            <wp:docPr id="2" name="Picture 2" descr="brand_config01_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_config01_DU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087" cy="632837"/>
                    </a:xfrm>
                    <a:prstGeom prst="rect">
                      <a:avLst/>
                    </a:prstGeom>
                    <a:noFill/>
                    <a:ln>
                      <a:noFill/>
                    </a:ln>
                  </pic:spPr>
                </pic:pic>
              </a:graphicData>
            </a:graphic>
          </wp:inline>
        </w:drawing>
      </w:r>
    </w:p>
    <w:p w14:paraId="66CB5A46" w14:textId="77777777" w:rsidR="003F0DDC" w:rsidRDefault="003F0DDC" w:rsidP="00C82959">
      <w:pPr>
        <w:rPr>
          <w:b/>
          <w:bCs/>
          <w:color w:val="FF0000"/>
          <w:sz w:val="24"/>
          <w:szCs w:val="24"/>
        </w:rPr>
      </w:pPr>
    </w:p>
    <w:p w14:paraId="06A2AE81" w14:textId="5224350B" w:rsidR="00C82959" w:rsidRDefault="00C82959" w:rsidP="00C82959">
      <w:pPr>
        <w:rPr>
          <w:b/>
          <w:bCs/>
          <w:color w:val="FF0000"/>
          <w:sz w:val="24"/>
          <w:szCs w:val="24"/>
        </w:rPr>
      </w:pPr>
      <w:r>
        <w:rPr>
          <w:b/>
          <w:bCs/>
          <w:color w:val="FF0000"/>
          <w:sz w:val="24"/>
          <w:szCs w:val="24"/>
        </w:rPr>
        <w:t xml:space="preserve">Effective </w:t>
      </w:r>
      <w:r w:rsidR="00481179">
        <w:rPr>
          <w:b/>
          <w:bCs/>
          <w:color w:val="FF0000"/>
          <w:sz w:val="24"/>
          <w:szCs w:val="24"/>
        </w:rPr>
        <w:t>Ju</w:t>
      </w:r>
      <w:r w:rsidR="0064003B">
        <w:rPr>
          <w:b/>
          <w:bCs/>
          <w:color w:val="FF0000"/>
          <w:sz w:val="24"/>
          <w:szCs w:val="24"/>
        </w:rPr>
        <w:t>ly</w:t>
      </w:r>
      <w:r>
        <w:rPr>
          <w:b/>
          <w:bCs/>
          <w:color w:val="FF0000"/>
          <w:sz w:val="24"/>
          <w:szCs w:val="24"/>
        </w:rPr>
        <w:t xml:space="preserve"> </w:t>
      </w:r>
      <w:r w:rsidR="00481179">
        <w:rPr>
          <w:b/>
          <w:bCs/>
          <w:color w:val="FF0000"/>
          <w:sz w:val="24"/>
          <w:szCs w:val="24"/>
        </w:rPr>
        <w:t>15</w:t>
      </w:r>
      <w:r>
        <w:rPr>
          <w:b/>
          <w:bCs/>
          <w:color w:val="FF0000"/>
          <w:sz w:val="24"/>
          <w:szCs w:val="24"/>
        </w:rPr>
        <w:t>, 202</w:t>
      </w:r>
      <w:r w:rsidR="00481179">
        <w:rPr>
          <w:b/>
          <w:bCs/>
          <w:color w:val="FF0000"/>
          <w:sz w:val="24"/>
          <w:szCs w:val="24"/>
        </w:rPr>
        <w:t>3</w:t>
      </w:r>
    </w:p>
    <w:p w14:paraId="67C82007" w14:textId="77777777" w:rsidR="003F0DDC" w:rsidRDefault="003F0DDC" w:rsidP="005871B5">
      <w:pPr>
        <w:jc w:val="center"/>
        <w:rPr>
          <w:b/>
          <w:bCs/>
          <w:sz w:val="28"/>
          <w:szCs w:val="28"/>
        </w:rPr>
      </w:pPr>
    </w:p>
    <w:p w14:paraId="620C56FE" w14:textId="22531137" w:rsidR="005871B5" w:rsidRDefault="005871B5" w:rsidP="005871B5">
      <w:pPr>
        <w:jc w:val="center"/>
        <w:rPr>
          <w:b/>
          <w:bCs/>
          <w:sz w:val="28"/>
          <w:szCs w:val="28"/>
        </w:rPr>
      </w:pPr>
      <w:r w:rsidRPr="005871B5">
        <w:rPr>
          <w:b/>
          <w:bCs/>
          <w:sz w:val="28"/>
          <w:szCs w:val="28"/>
        </w:rPr>
        <w:t>NIH RPPR Routing</w:t>
      </w:r>
      <w:r w:rsidR="009D4F59">
        <w:rPr>
          <w:b/>
          <w:bCs/>
          <w:sz w:val="28"/>
          <w:szCs w:val="28"/>
        </w:rPr>
        <w:t xml:space="preserve"> and Submission</w:t>
      </w:r>
      <w:r w:rsidRPr="005871B5">
        <w:rPr>
          <w:b/>
          <w:bCs/>
          <w:sz w:val="28"/>
          <w:szCs w:val="28"/>
        </w:rPr>
        <w:t xml:space="preserve"> Procedures</w:t>
      </w:r>
    </w:p>
    <w:p w14:paraId="571E9555" w14:textId="3A5B2AD8" w:rsidR="005871B5" w:rsidRDefault="005871B5" w:rsidP="005871B5">
      <w:pPr>
        <w:rPr>
          <w:sz w:val="24"/>
          <w:szCs w:val="24"/>
        </w:rPr>
      </w:pPr>
      <w:r w:rsidRPr="003A7410">
        <w:rPr>
          <w:b/>
          <w:bCs/>
          <w:sz w:val="24"/>
          <w:szCs w:val="24"/>
          <w:u w:val="single"/>
        </w:rPr>
        <w:t>Background:</w:t>
      </w:r>
      <w:r>
        <w:rPr>
          <w:b/>
          <w:bCs/>
          <w:sz w:val="24"/>
          <w:szCs w:val="24"/>
        </w:rPr>
        <w:t xml:space="preserve"> </w:t>
      </w:r>
      <w:r>
        <w:rPr>
          <w:sz w:val="24"/>
          <w:szCs w:val="24"/>
        </w:rPr>
        <w:t xml:space="preserve">The new internal routing procedures are designed to streamline the RPPR submission process and the </w:t>
      </w:r>
      <w:r w:rsidR="00131B49">
        <w:rPr>
          <w:sz w:val="24"/>
          <w:szCs w:val="24"/>
        </w:rPr>
        <w:t xml:space="preserve">initiation of </w:t>
      </w:r>
      <w:r>
        <w:rPr>
          <w:sz w:val="24"/>
          <w:szCs w:val="24"/>
        </w:rPr>
        <w:t xml:space="preserve">Conflict of Interest </w:t>
      </w:r>
      <w:r w:rsidR="00CE6CD9">
        <w:rPr>
          <w:sz w:val="24"/>
          <w:szCs w:val="24"/>
        </w:rPr>
        <w:t>verification</w:t>
      </w:r>
      <w:r>
        <w:rPr>
          <w:sz w:val="24"/>
          <w:szCs w:val="24"/>
        </w:rPr>
        <w:t>.</w:t>
      </w:r>
    </w:p>
    <w:p w14:paraId="550ACE88" w14:textId="2C0542A8" w:rsidR="005871B5" w:rsidRDefault="005871B5" w:rsidP="005871B5">
      <w:pPr>
        <w:rPr>
          <w:sz w:val="24"/>
          <w:szCs w:val="24"/>
        </w:rPr>
      </w:pPr>
    </w:p>
    <w:p w14:paraId="54EF77B9" w14:textId="3C3DEE3E" w:rsidR="005871B5" w:rsidRDefault="009D4F59" w:rsidP="005871B5">
      <w:pPr>
        <w:rPr>
          <w:sz w:val="24"/>
          <w:szCs w:val="24"/>
        </w:rPr>
      </w:pPr>
      <w:r w:rsidRPr="005871B5">
        <w:rPr>
          <w:noProof/>
          <w:sz w:val="24"/>
          <w:szCs w:val="24"/>
        </w:rPr>
        <mc:AlternateContent>
          <mc:Choice Requires="wps">
            <w:drawing>
              <wp:anchor distT="45720" distB="45720" distL="114300" distR="114300" simplePos="0" relativeHeight="251655680" behindDoc="0" locked="0" layoutInCell="1" allowOverlap="1" wp14:anchorId="44B74A1F" wp14:editId="7A4B5830">
                <wp:simplePos x="0" y="0"/>
                <wp:positionH relativeFrom="column">
                  <wp:posOffset>1047750</wp:posOffset>
                </wp:positionH>
                <wp:positionV relativeFrom="paragraph">
                  <wp:posOffset>152400</wp:posOffset>
                </wp:positionV>
                <wp:extent cx="5657850" cy="1123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123950"/>
                        </a:xfrm>
                        <a:prstGeom prst="rect">
                          <a:avLst/>
                        </a:prstGeom>
                        <a:solidFill>
                          <a:srgbClr val="FFFFFF"/>
                        </a:solidFill>
                        <a:ln w="9525">
                          <a:noFill/>
                          <a:miter lim="800000"/>
                          <a:headEnd/>
                          <a:tailEnd/>
                        </a:ln>
                      </wps:spPr>
                      <wps:txbx>
                        <w:txbxContent>
                          <w:p w14:paraId="71A8221B" w14:textId="301BED70" w:rsidR="005871B5" w:rsidRPr="002B0E14" w:rsidRDefault="005871B5" w:rsidP="005871B5">
                            <w:pPr>
                              <w:rPr>
                                <w:rFonts w:ascii="Calibri" w:hAnsi="Calibri" w:cs="Calibri"/>
                                <w:b/>
                                <w:bCs/>
                                <w:sz w:val="28"/>
                                <w:szCs w:val="28"/>
                              </w:rPr>
                            </w:pPr>
                            <w:r w:rsidRPr="002B0E14">
                              <w:rPr>
                                <w:rFonts w:ascii="Calibri" w:hAnsi="Calibri" w:cs="Calibri"/>
                                <w:b/>
                                <w:bCs/>
                                <w:sz w:val="28"/>
                                <w:szCs w:val="28"/>
                              </w:rPr>
                              <w:t>Complete the RPPR in eRA Commons</w:t>
                            </w:r>
                            <w:r w:rsidR="004E3283" w:rsidRPr="002B0E14">
                              <w:rPr>
                                <w:rFonts w:ascii="Calibri" w:hAnsi="Calibri" w:cs="Calibri"/>
                                <w:b/>
                                <w:bCs/>
                                <w:sz w:val="28"/>
                                <w:szCs w:val="28"/>
                              </w:rPr>
                              <w:t>.</w:t>
                            </w:r>
                            <w:r w:rsidR="00623068" w:rsidRPr="002B0E14">
                              <w:rPr>
                                <w:rFonts w:ascii="Calibri" w:hAnsi="Calibri" w:cs="Calibri"/>
                                <w:b/>
                                <w:bCs/>
                                <w:sz w:val="28"/>
                                <w:szCs w:val="28"/>
                              </w:rPr>
                              <w:t xml:space="preserve"> </w:t>
                            </w:r>
                            <w:r w:rsidR="00481179">
                              <w:rPr>
                                <w:rFonts w:ascii="Calibri" w:hAnsi="Calibri" w:cs="Calibri"/>
                                <w:b/>
                                <w:bCs/>
                                <w:sz w:val="28"/>
                                <w:szCs w:val="28"/>
                              </w:rPr>
                              <w:t>Use the eRA Commons Validation function to ensure there are no errors, as these will prevent submission.  If there are warnings, address as needed. Warnings will not prevent submission of the RPPR</w:t>
                            </w:r>
                            <w:r w:rsidR="00634ED5">
                              <w:rPr>
                                <w:rFonts w:ascii="Calibri" w:hAnsi="Calibri" w:cs="Calibri"/>
                                <w:b/>
                                <w:bC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B74A1F" id="_x0000_t202" coordsize="21600,21600" o:spt="202" path="m,l,21600r21600,l21600,xe">
                <v:stroke joinstyle="miter"/>
                <v:path gradientshapeok="t" o:connecttype="rect"/>
              </v:shapetype>
              <v:shape id="Text Box 2" o:spid="_x0000_s1026" type="#_x0000_t202" style="position:absolute;margin-left:82.5pt;margin-top:12pt;width:445.5pt;height:88.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" stroked="f">
                <v:textbox>
                  <w:txbxContent>
                    <w:p w14:paraId="71A8221B" w14:textId="301BED70" w:rsidR="005871B5" w:rsidRPr="002B0E14" w:rsidRDefault="005871B5" w:rsidP="005871B5">
                      <w:pPr>
                        <w:rPr>
                          <w:rFonts w:ascii="Calibri" w:hAnsi="Calibri" w:cs="Calibri"/>
                          <w:b/>
                          <w:bCs/>
                          <w:sz w:val="28"/>
                          <w:szCs w:val="28"/>
                        </w:rPr>
                      </w:pPr>
                      <w:r w:rsidRPr="002B0E14">
                        <w:rPr>
                          <w:rFonts w:ascii="Calibri" w:hAnsi="Calibri" w:cs="Calibri"/>
                          <w:b/>
                          <w:bCs/>
                          <w:sz w:val="28"/>
                          <w:szCs w:val="28"/>
                        </w:rPr>
                        <w:t>Complete the RPPR in eRA Commons</w:t>
                      </w:r>
                      <w:r w:rsidR="004E3283" w:rsidRPr="002B0E14">
                        <w:rPr>
                          <w:rFonts w:ascii="Calibri" w:hAnsi="Calibri" w:cs="Calibri"/>
                          <w:b/>
                          <w:bCs/>
                          <w:sz w:val="28"/>
                          <w:szCs w:val="28"/>
                        </w:rPr>
                        <w:t>.</w:t>
                      </w:r>
                      <w:r w:rsidR="00623068" w:rsidRPr="002B0E14">
                        <w:rPr>
                          <w:rFonts w:ascii="Calibri" w:hAnsi="Calibri" w:cs="Calibri"/>
                          <w:b/>
                          <w:bCs/>
                          <w:sz w:val="28"/>
                          <w:szCs w:val="28"/>
                        </w:rPr>
                        <w:t xml:space="preserve"> </w:t>
                      </w:r>
                      <w:r w:rsidR="00481179">
                        <w:rPr>
                          <w:rFonts w:ascii="Calibri" w:hAnsi="Calibri" w:cs="Calibri"/>
                          <w:b/>
                          <w:bCs/>
                          <w:sz w:val="28"/>
                          <w:szCs w:val="28"/>
                        </w:rPr>
                        <w:t>Use the eRA Commons Validation function to ensure there are no errors, as these will prevent submission.  If there are warnings, address as needed. Warnings will not prevent submission of the RPPR</w:t>
                      </w:r>
                      <w:r w:rsidR="00634ED5">
                        <w:rPr>
                          <w:rFonts w:ascii="Calibri" w:hAnsi="Calibri" w:cs="Calibri"/>
                          <w:b/>
                          <w:bCs/>
                          <w:sz w:val="28"/>
                          <w:szCs w:val="28"/>
                        </w:rPr>
                        <w:t>.</w:t>
                      </w:r>
                    </w:p>
                  </w:txbxContent>
                </v:textbox>
                <w10:wrap type="square"/>
              </v:shape>
            </w:pict>
          </mc:Fallback>
        </mc:AlternateContent>
      </w:r>
      <w:r w:rsidR="005871B5">
        <w:rPr>
          <w:noProof/>
          <w:sz w:val="24"/>
          <w:szCs w:val="24"/>
        </w:rPr>
        <w:drawing>
          <wp:inline distT="0" distB="0" distL="0" distR="0" wp14:anchorId="440D0062" wp14:editId="12086175">
            <wp:extent cx="914400" cy="914400"/>
            <wp:effectExtent l="0" t="0" r="0" b="0"/>
            <wp:docPr id="3" name="Graphic 3" descr="Ba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Badge 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p>
    <w:p w14:paraId="78FFDE78" w14:textId="57EAEB88" w:rsidR="005871B5" w:rsidRDefault="005871B5" w:rsidP="005871B5">
      <w:pPr>
        <w:rPr>
          <w:sz w:val="24"/>
          <w:szCs w:val="24"/>
        </w:rPr>
      </w:pPr>
    </w:p>
    <w:p w14:paraId="4C145AD3" w14:textId="6A5AAFF9" w:rsidR="005871B5" w:rsidRDefault="00C8490D" w:rsidP="005871B5">
      <w:pPr>
        <w:rPr>
          <w:sz w:val="24"/>
          <w:szCs w:val="24"/>
        </w:rPr>
      </w:pPr>
      <w:r w:rsidRPr="005871B5">
        <w:rPr>
          <w:noProof/>
          <w:sz w:val="24"/>
          <w:szCs w:val="24"/>
        </w:rPr>
        <mc:AlternateContent>
          <mc:Choice Requires="wps">
            <w:drawing>
              <wp:anchor distT="45720" distB="45720" distL="114300" distR="114300" simplePos="0" relativeHeight="251657728" behindDoc="0" locked="0" layoutInCell="1" allowOverlap="1" wp14:anchorId="0457723C" wp14:editId="160B24D3">
                <wp:simplePos x="0" y="0"/>
                <wp:positionH relativeFrom="column">
                  <wp:posOffset>1028700</wp:posOffset>
                </wp:positionH>
                <wp:positionV relativeFrom="paragraph">
                  <wp:posOffset>175260</wp:posOffset>
                </wp:positionV>
                <wp:extent cx="5657850" cy="10477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047750"/>
                        </a:xfrm>
                        <a:prstGeom prst="rect">
                          <a:avLst/>
                        </a:prstGeom>
                        <a:solidFill>
                          <a:srgbClr val="FFFFFF"/>
                        </a:solidFill>
                        <a:ln w="9525">
                          <a:noFill/>
                          <a:miter lim="800000"/>
                          <a:headEnd/>
                          <a:tailEnd/>
                        </a:ln>
                      </wps:spPr>
                      <wps:txbx>
                        <w:txbxContent>
                          <w:p w14:paraId="1F2FF65E" w14:textId="102FDB64" w:rsidR="009D4F59" w:rsidRPr="00C8490D" w:rsidRDefault="00D47EC2" w:rsidP="009D4F59">
                            <w:pPr>
                              <w:rPr>
                                <w:rFonts w:ascii="Calibri" w:hAnsi="Calibri" w:cs="Calibri"/>
                                <w:b/>
                                <w:bCs/>
                                <w:sz w:val="28"/>
                                <w:szCs w:val="28"/>
                              </w:rPr>
                            </w:pPr>
                            <w:r>
                              <w:rPr>
                                <w:rFonts w:ascii="Calibri" w:hAnsi="Calibri" w:cs="Calibri"/>
                                <w:b/>
                                <w:bCs/>
                                <w:sz w:val="28"/>
                                <w:szCs w:val="28"/>
                              </w:rPr>
                              <w:t>When the RPPR is free of errors and is ready to be submitted, s</w:t>
                            </w:r>
                            <w:r w:rsidR="00481179">
                              <w:rPr>
                                <w:rFonts w:ascii="Calibri" w:hAnsi="Calibri" w:cs="Calibri"/>
                                <w:b/>
                                <w:bCs/>
                                <w:sz w:val="28"/>
                                <w:szCs w:val="28"/>
                              </w:rPr>
                              <w:t xml:space="preserve">elect Route to Next Reviewer, then select your department’s designated Pre-Award Analyst.  If you do not know who your department’s designated Analyst is, please reach out to </w:t>
                            </w:r>
                            <w:hyperlink r:id="rId9" w:history="1">
                              <w:r w:rsidR="00634ED5">
                                <w:rPr>
                                  <w:rStyle w:val="Hyperlink"/>
                                  <w:rFonts w:ascii="Calibri" w:hAnsi="Calibri" w:cs="Calibri"/>
                                  <w:b/>
                                  <w:bCs/>
                                  <w:sz w:val="28"/>
                                  <w:szCs w:val="28"/>
                                </w:rPr>
                                <w:t>xenia@ucdenver.edu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7723C" id="_x0000_s1027" type="#_x0000_t202" style="position:absolute;margin-left:81pt;margin-top:13.8pt;width:445.5pt;height:8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" stroked="f">
                <v:textbox>
                  <w:txbxContent>
                    <w:p w14:paraId="1F2FF65E" w14:textId="102FDB64" w:rsidR="009D4F59" w:rsidRPr="00C8490D" w:rsidRDefault="00D47EC2" w:rsidP="009D4F59">
                      <w:pPr>
                        <w:rPr>
                          <w:rFonts w:ascii="Calibri" w:hAnsi="Calibri" w:cs="Calibri"/>
                          <w:b/>
                          <w:bCs/>
                          <w:sz w:val="28"/>
                          <w:szCs w:val="28"/>
                        </w:rPr>
                      </w:pPr>
                      <w:r>
                        <w:rPr>
                          <w:rFonts w:ascii="Calibri" w:hAnsi="Calibri" w:cs="Calibri"/>
                          <w:b/>
                          <w:bCs/>
                          <w:sz w:val="28"/>
                          <w:szCs w:val="28"/>
                        </w:rPr>
                        <w:t>When the RPPR is free of errors and is ready to be submitted, s</w:t>
                      </w:r>
                      <w:r w:rsidR="00481179">
                        <w:rPr>
                          <w:rFonts w:ascii="Calibri" w:hAnsi="Calibri" w:cs="Calibri"/>
                          <w:b/>
                          <w:bCs/>
                          <w:sz w:val="28"/>
                          <w:szCs w:val="28"/>
                        </w:rPr>
                        <w:t xml:space="preserve">elect Route to Next Reviewer, then select your department’s designated Pre-Award Analyst.  If you do not know who your department’s designated Analyst is, please reach out to </w:t>
                      </w:r>
                      <w:hyperlink r:id="rId10" w:history="1">
                        <w:r w:rsidR="00634ED5">
                          <w:rPr>
                            <w:rStyle w:val="Hyperlink"/>
                            <w:rFonts w:ascii="Calibri" w:hAnsi="Calibri" w:cs="Calibri"/>
                            <w:b/>
                            <w:bCs/>
                            <w:sz w:val="28"/>
                            <w:szCs w:val="28"/>
                          </w:rPr>
                          <w:t>xenia@ucdenver.edu</w:t>
                        </w:r>
                      </w:hyperlink>
                    </w:p>
                  </w:txbxContent>
                </v:textbox>
                <w10:wrap type="square"/>
              </v:shape>
            </w:pict>
          </mc:Fallback>
        </mc:AlternateContent>
      </w:r>
      <w:r w:rsidR="009D4F59">
        <w:rPr>
          <w:noProof/>
          <w:sz w:val="24"/>
          <w:szCs w:val="24"/>
        </w:rPr>
        <w:drawing>
          <wp:inline distT="0" distB="0" distL="0" distR="0" wp14:anchorId="18CD529C" wp14:editId="12EA3B2E">
            <wp:extent cx="914400" cy="914400"/>
            <wp:effectExtent l="0" t="0" r="0" b="0"/>
            <wp:docPr id="4" name="Graphic 4"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adg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p w14:paraId="71E8E7FF" w14:textId="12EB5BD6" w:rsidR="009D4F59" w:rsidRDefault="009D4F59" w:rsidP="005871B5">
      <w:pPr>
        <w:rPr>
          <w:sz w:val="24"/>
          <w:szCs w:val="24"/>
        </w:rPr>
      </w:pPr>
    </w:p>
    <w:p w14:paraId="4DFE1746" w14:textId="3AA38CEF" w:rsidR="009D4F59" w:rsidRDefault="009D4F59" w:rsidP="005871B5">
      <w:pPr>
        <w:rPr>
          <w:sz w:val="24"/>
          <w:szCs w:val="24"/>
        </w:rPr>
      </w:pPr>
      <w:r w:rsidRPr="005871B5">
        <w:rPr>
          <w:noProof/>
          <w:sz w:val="24"/>
          <w:szCs w:val="24"/>
        </w:rPr>
        <mc:AlternateContent>
          <mc:Choice Requires="wps">
            <w:drawing>
              <wp:anchor distT="45720" distB="45720" distL="114300" distR="114300" simplePos="0" relativeHeight="251658752" behindDoc="0" locked="0" layoutInCell="1" allowOverlap="1" wp14:anchorId="67BC8B9A" wp14:editId="3C9267E6">
                <wp:simplePos x="0" y="0"/>
                <wp:positionH relativeFrom="column">
                  <wp:posOffset>1028700</wp:posOffset>
                </wp:positionH>
                <wp:positionV relativeFrom="paragraph">
                  <wp:posOffset>135890</wp:posOffset>
                </wp:positionV>
                <wp:extent cx="5657850" cy="10096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009650"/>
                        </a:xfrm>
                        <a:prstGeom prst="rect">
                          <a:avLst/>
                        </a:prstGeom>
                        <a:solidFill>
                          <a:srgbClr val="FFFFFF"/>
                        </a:solidFill>
                        <a:ln w="9525">
                          <a:noFill/>
                          <a:miter lim="800000"/>
                          <a:headEnd/>
                          <a:tailEnd/>
                        </a:ln>
                      </wps:spPr>
                      <wps:txbx>
                        <w:txbxContent>
                          <w:p w14:paraId="02776F4A" w14:textId="2D4C5630" w:rsidR="009D4F59" w:rsidRPr="00350A0E" w:rsidRDefault="00481179" w:rsidP="009D4F59">
                            <w:pPr>
                              <w:rPr>
                                <w:rFonts w:ascii="Calibri" w:hAnsi="Calibri" w:cs="Calibri"/>
                                <w:b/>
                                <w:bCs/>
                                <w:sz w:val="28"/>
                                <w:szCs w:val="28"/>
                              </w:rPr>
                            </w:pPr>
                            <w:r>
                              <w:rPr>
                                <w:rFonts w:ascii="Calibri" w:hAnsi="Calibri" w:cs="Calibri"/>
                                <w:b/>
                                <w:bCs/>
                                <w:sz w:val="28"/>
                                <w:szCs w:val="28"/>
                              </w:rPr>
                              <w:t>Commons will notify OGC that the RPPR is ready for review.  Pre-Award Specialists will verify completion of COI and will notify departments if any personnel are non-compliant.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C8B9A" id="_x0000_s1028" type="#_x0000_t202" style="position:absolute;margin-left:81pt;margin-top:10.7pt;width:445.5pt;height:79.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" stroked="f">
                <v:textbox>
                  <w:txbxContent>
                    <w:p w14:paraId="02776F4A" w14:textId="2D4C5630" w:rsidR="009D4F59" w:rsidRPr="00350A0E" w:rsidRDefault="00481179" w:rsidP="009D4F59">
                      <w:pPr>
                        <w:rPr>
                          <w:rFonts w:ascii="Calibri" w:hAnsi="Calibri" w:cs="Calibri"/>
                          <w:b/>
                          <w:bCs/>
                          <w:sz w:val="28"/>
                          <w:szCs w:val="28"/>
                        </w:rPr>
                      </w:pPr>
                      <w:r>
                        <w:rPr>
                          <w:rFonts w:ascii="Calibri" w:hAnsi="Calibri" w:cs="Calibri"/>
                          <w:b/>
                          <w:bCs/>
                          <w:sz w:val="28"/>
                          <w:szCs w:val="28"/>
                        </w:rPr>
                        <w:t>Commons will notify OGC that the RPPR is ready for review.  Pre-Award Specialists will verify completion of COI and will notify departments if any personnel are non-compliant.</w:t>
                      </w:r>
                    </w:p>
                  </w:txbxContent>
                </v:textbox>
                <w10:wrap type="square"/>
              </v:shape>
            </w:pict>
          </mc:Fallback>
        </mc:AlternateContent>
      </w:r>
      <w:r>
        <w:rPr>
          <w:noProof/>
          <w:sz w:val="24"/>
          <w:szCs w:val="24"/>
        </w:rPr>
        <w:drawing>
          <wp:inline distT="0" distB="0" distL="0" distR="0" wp14:anchorId="293AF4DA" wp14:editId="2E138C52">
            <wp:extent cx="914400" cy="914400"/>
            <wp:effectExtent l="0" t="0" r="0" b="0"/>
            <wp:docPr id="6" name="Graphic 6" descr="Bad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Badge 3"/>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p>
    <w:p w14:paraId="0041B581" w14:textId="77777777" w:rsidR="009D4F59" w:rsidRDefault="009D4F59" w:rsidP="005871B5">
      <w:pPr>
        <w:rPr>
          <w:sz w:val="24"/>
          <w:szCs w:val="24"/>
        </w:rPr>
      </w:pPr>
    </w:p>
    <w:p w14:paraId="1140E5A4" w14:textId="602EFCCA" w:rsidR="009D4F59" w:rsidRDefault="009D4F59" w:rsidP="005871B5">
      <w:pPr>
        <w:rPr>
          <w:sz w:val="24"/>
          <w:szCs w:val="24"/>
        </w:rPr>
      </w:pPr>
      <w:r w:rsidRPr="005871B5">
        <w:rPr>
          <w:noProof/>
          <w:sz w:val="24"/>
          <w:szCs w:val="24"/>
        </w:rPr>
        <mc:AlternateContent>
          <mc:Choice Requires="wps">
            <w:drawing>
              <wp:anchor distT="45720" distB="45720" distL="114300" distR="114300" simplePos="0" relativeHeight="251659776" behindDoc="0" locked="0" layoutInCell="1" allowOverlap="1" wp14:anchorId="3A7F6233" wp14:editId="28EE24B6">
                <wp:simplePos x="0" y="0"/>
                <wp:positionH relativeFrom="column">
                  <wp:posOffset>1066800</wp:posOffset>
                </wp:positionH>
                <wp:positionV relativeFrom="paragraph">
                  <wp:posOffset>105410</wp:posOffset>
                </wp:positionV>
                <wp:extent cx="5657850" cy="60007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00075"/>
                        </a:xfrm>
                        <a:prstGeom prst="rect">
                          <a:avLst/>
                        </a:prstGeom>
                        <a:solidFill>
                          <a:srgbClr val="FFFFFF"/>
                        </a:solidFill>
                        <a:ln w="9525">
                          <a:noFill/>
                          <a:miter lim="800000"/>
                          <a:headEnd/>
                          <a:tailEnd/>
                        </a:ln>
                      </wps:spPr>
                      <wps:txbx>
                        <w:txbxContent>
                          <w:p w14:paraId="3E912507" w14:textId="7CBB5B4D" w:rsidR="009D4F59" w:rsidRPr="00DB755B" w:rsidRDefault="00481179" w:rsidP="009D4F59">
                            <w:pPr>
                              <w:rPr>
                                <w:rFonts w:ascii="Calibri" w:hAnsi="Calibri" w:cs="Calibri"/>
                                <w:b/>
                                <w:bCs/>
                                <w:sz w:val="28"/>
                                <w:szCs w:val="28"/>
                              </w:rPr>
                            </w:pPr>
                            <w:r>
                              <w:rPr>
                                <w:rFonts w:ascii="Calibri" w:hAnsi="Calibri" w:cs="Calibri"/>
                                <w:b/>
                                <w:bCs/>
                                <w:sz w:val="28"/>
                                <w:szCs w:val="28"/>
                              </w:rPr>
                              <w:t>Once COI is complete, the Analyst will review the RPPR.  If there are no errors, OGC will submit the RPPR.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F6233" id="_x0000_s1029" type="#_x0000_t202" style="position:absolute;margin-left:84pt;margin-top:8.3pt;width:445.5pt;height:47.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" stroked="f">
                <v:textbox>
                  <w:txbxContent>
                    <w:p w14:paraId="3E912507" w14:textId="7CBB5B4D" w:rsidR="009D4F59" w:rsidRPr="00DB755B" w:rsidRDefault="00481179" w:rsidP="009D4F59">
                      <w:pPr>
                        <w:rPr>
                          <w:rFonts w:ascii="Calibri" w:hAnsi="Calibri" w:cs="Calibri"/>
                          <w:b/>
                          <w:bCs/>
                          <w:sz w:val="28"/>
                          <w:szCs w:val="28"/>
                        </w:rPr>
                      </w:pPr>
                      <w:r>
                        <w:rPr>
                          <w:rFonts w:ascii="Calibri" w:hAnsi="Calibri" w:cs="Calibri"/>
                          <w:b/>
                          <w:bCs/>
                          <w:sz w:val="28"/>
                          <w:szCs w:val="28"/>
                        </w:rPr>
                        <w:t>Once COI is complete, the Analyst will review the RPPR.  If there are no errors, OGC will submit the RPPR.</w:t>
                      </w:r>
                    </w:p>
                  </w:txbxContent>
                </v:textbox>
                <w10:wrap type="square"/>
              </v:shape>
            </w:pict>
          </mc:Fallback>
        </mc:AlternateContent>
      </w:r>
      <w:r>
        <w:rPr>
          <w:noProof/>
          <w:sz w:val="24"/>
          <w:szCs w:val="24"/>
        </w:rPr>
        <w:drawing>
          <wp:inline distT="0" distB="0" distL="0" distR="0" wp14:anchorId="6A6C0EB7" wp14:editId="3E05DC86">
            <wp:extent cx="914400" cy="914400"/>
            <wp:effectExtent l="0" t="0" r="0" b="0"/>
            <wp:docPr id="8" name="Graphic 8" descr="Bad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Badge 4"/>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p>
    <w:p w14:paraId="44338FAD" w14:textId="2380C51D" w:rsidR="002A5505" w:rsidRDefault="00DF757C" w:rsidP="005871B5">
      <w:pPr>
        <w:rPr>
          <w:sz w:val="24"/>
          <w:szCs w:val="24"/>
        </w:rPr>
      </w:pPr>
      <w:r w:rsidRPr="005871B5">
        <w:rPr>
          <w:noProof/>
          <w:sz w:val="24"/>
          <w:szCs w:val="24"/>
        </w:rPr>
        <mc:AlternateContent>
          <mc:Choice Requires="wps">
            <w:drawing>
              <wp:anchor distT="45720" distB="45720" distL="114300" distR="114300" simplePos="0" relativeHeight="251656704" behindDoc="0" locked="0" layoutInCell="1" allowOverlap="1" wp14:anchorId="4311DE1B" wp14:editId="63BF7389">
                <wp:simplePos x="0" y="0"/>
                <wp:positionH relativeFrom="column">
                  <wp:posOffset>1047750</wp:posOffset>
                </wp:positionH>
                <wp:positionV relativeFrom="paragraph">
                  <wp:posOffset>171450</wp:posOffset>
                </wp:positionV>
                <wp:extent cx="5657850" cy="111442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114425"/>
                        </a:xfrm>
                        <a:prstGeom prst="rect">
                          <a:avLst/>
                        </a:prstGeom>
                        <a:solidFill>
                          <a:srgbClr val="FFFFFF"/>
                        </a:solidFill>
                        <a:ln w="9525">
                          <a:noFill/>
                          <a:miter lim="800000"/>
                          <a:headEnd/>
                          <a:tailEnd/>
                        </a:ln>
                      </wps:spPr>
                      <wps:txbx>
                        <w:txbxContent>
                          <w:p w14:paraId="1514ADF7" w14:textId="23CEBBCA" w:rsidR="00DF757C" w:rsidRPr="00DB755B" w:rsidRDefault="00481179" w:rsidP="00DF757C">
                            <w:pPr>
                              <w:rPr>
                                <w:rFonts w:ascii="Calibri" w:hAnsi="Calibri" w:cs="Calibri"/>
                                <w:b/>
                                <w:bCs/>
                                <w:sz w:val="28"/>
                                <w:szCs w:val="28"/>
                              </w:rPr>
                            </w:pPr>
                            <w:r>
                              <w:rPr>
                                <w:rFonts w:ascii="Calibri" w:hAnsi="Calibri" w:cs="Calibri"/>
                                <w:b/>
                                <w:bCs/>
                                <w:sz w:val="28"/>
                                <w:szCs w:val="28"/>
                              </w:rPr>
                              <w:t xml:space="preserve">If there are errors in the RPPR, the Analyst will contact the </w:t>
                            </w:r>
                            <w:r w:rsidR="00634ED5">
                              <w:rPr>
                                <w:rFonts w:ascii="Calibri" w:hAnsi="Calibri" w:cs="Calibri"/>
                                <w:b/>
                                <w:bCs/>
                                <w:sz w:val="28"/>
                                <w:szCs w:val="28"/>
                              </w:rPr>
                              <w:t>administrative</w:t>
                            </w:r>
                            <w:r>
                              <w:rPr>
                                <w:rFonts w:ascii="Calibri" w:hAnsi="Calibri" w:cs="Calibri"/>
                                <w:b/>
                                <w:bCs/>
                                <w:sz w:val="28"/>
                                <w:szCs w:val="28"/>
                              </w:rPr>
                              <w:t xml:space="preserve"> unit to work through any issues.</w:t>
                            </w:r>
                            <w:r w:rsidR="00634ED5">
                              <w:rPr>
                                <w:rFonts w:ascii="Calibri" w:hAnsi="Calibri" w:cs="Calibri"/>
                                <w:b/>
                                <w:bCs/>
                                <w:sz w:val="28"/>
                                <w:szCs w:val="28"/>
                              </w:rPr>
                              <w:t xml:space="preserve"> </w:t>
                            </w:r>
                            <w:r w:rsidR="00C62FE5">
                              <w:rPr>
                                <w:rFonts w:ascii="Calibri" w:hAnsi="Calibri" w:cs="Calibri"/>
                                <w:b/>
                                <w:bCs/>
                                <w:sz w:val="28"/>
                                <w:szCs w:val="28"/>
                              </w:rPr>
                              <w:t xml:space="preserve">Administrative units are responsible for all late RPPR submissions.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1DE1B" id="_x0000_s1030" type="#_x0000_t202" style="position:absolute;margin-left:82.5pt;margin-top:13.5pt;width:445.5pt;height:87.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" stroked="f">
                <v:textbox>
                  <w:txbxContent>
                    <w:p w14:paraId="1514ADF7" w14:textId="23CEBBCA" w:rsidR="00DF757C" w:rsidRPr="00DB755B" w:rsidRDefault="00481179" w:rsidP="00DF757C">
                      <w:pPr>
                        <w:rPr>
                          <w:rFonts w:ascii="Calibri" w:hAnsi="Calibri" w:cs="Calibri"/>
                          <w:b/>
                          <w:bCs/>
                          <w:sz w:val="28"/>
                          <w:szCs w:val="28"/>
                        </w:rPr>
                      </w:pPr>
                      <w:r>
                        <w:rPr>
                          <w:rFonts w:ascii="Calibri" w:hAnsi="Calibri" w:cs="Calibri"/>
                          <w:b/>
                          <w:bCs/>
                          <w:sz w:val="28"/>
                          <w:szCs w:val="28"/>
                        </w:rPr>
                        <w:t xml:space="preserve">If there are errors in the RPPR, the Analyst will contact the </w:t>
                      </w:r>
                      <w:r w:rsidR="00634ED5">
                        <w:rPr>
                          <w:rFonts w:ascii="Calibri" w:hAnsi="Calibri" w:cs="Calibri"/>
                          <w:b/>
                          <w:bCs/>
                          <w:sz w:val="28"/>
                          <w:szCs w:val="28"/>
                        </w:rPr>
                        <w:t>administrative</w:t>
                      </w:r>
                      <w:r>
                        <w:rPr>
                          <w:rFonts w:ascii="Calibri" w:hAnsi="Calibri" w:cs="Calibri"/>
                          <w:b/>
                          <w:bCs/>
                          <w:sz w:val="28"/>
                          <w:szCs w:val="28"/>
                        </w:rPr>
                        <w:t xml:space="preserve"> unit to work through any issues.</w:t>
                      </w:r>
                      <w:r w:rsidR="00634ED5">
                        <w:rPr>
                          <w:rFonts w:ascii="Calibri" w:hAnsi="Calibri" w:cs="Calibri"/>
                          <w:b/>
                          <w:bCs/>
                          <w:sz w:val="28"/>
                          <w:szCs w:val="28"/>
                        </w:rPr>
                        <w:t xml:space="preserve"> </w:t>
                      </w:r>
                      <w:r w:rsidR="00C62FE5">
                        <w:rPr>
                          <w:rFonts w:ascii="Calibri" w:hAnsi="Calibri" w:cs="Calibri"/>
                          <w:b/>
                          <w:bCs/>
                          <w:sz w:val="28"/>
                          <w:szCs w:val="28"/>
                        </w:rPr>
                        <w:t xml:space="preserve">Administrative units are responsible for all late RPPR submissions. </w:t>
                      </w:r>
                    </w:p>
                  </w:txbxContent>
                </v:textbox>
                <w10:wrap type="square"/>
              </v:shape>
            </w:pict>
          </mc:Fallback>
        </mc:AlternateContent>
      </w:r>
    </w:p>
    <w:p w14:paraId="7F3F1BB8" w14:textId="3FAE79BB" w:rsidR="002A5505" w:rsidRDefault="00DF757C" w:rsidP="005871B5">
      <w:pPr>
        <w:rPr>
          <w:sz w:val="24"/>
          <w:szCs w:val="24"/>
        </w:rPr>
      </w:pPr>
      <w:r>
        <w:rPr>
          <w:noProof/>
          <w:sz w:val="24"/>
          <w:szCs w:val="24"/>
        </w:rPr>
        <w:drawing>
          <wp:inline distT="0" distB="0" distL="0" distR="0" wp14:anchorId="7D61DB05" wp14:editId="78C8F3ED">
            <wp:extent cx="914400" cy="914400"/>
            <wp:effectExtent l="0" t="0" r="0" b="0"/>
            <wp:docPr id="11" name="Graphic 11" descr="Badge 5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Badge 5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p>
    <w:p w14:paraId="22DCDAE6" w14:textId="0DC67456" w:rsidR="002A5505" w:rsidRDefault="002A5505" w:rsidP="005871B5">
      <w:pPr>
        <w:rPr>
          <w:sz w:val="24"/>
          <w:szCs w:val="24"/>
        </w:rPr>
      </w:pPr>
    </w:p>
    <w:p w14:paraId="647060E4" w14:textId="4641F3CD" w:rsidR="009D4F59" w:rsidRDefault="009D4F59" w:rsidP="005871B5">
      <w:pPr>
        <w:rPr>
          <w:sz w:val="24"/>
          <w:szCs w:val="24"/>
        </w:rPr>
      </w:pPr>
    </w:p>
    <w:p w14:paraId="09AFC7D5" w14:textId="77777777" w:rsidR="002A5505" w:rsidRDefault="002A5505" w:rsidP="005871B5">
      <w:pPr>
        <w:rPr>
          <w:rFonts w:cstheme="minorHAnsi"/>
          <w:sz w:val="24"/>
          <w:szCs w:val="24"/>
          <w:u w:val="single"/>
        </w:rPr>
        <w:sectPr w:rsidR="002A5505" w:rsidSect="005D77FD">
          <w:pgSz w:w="12240" w:h="15840"/>
          <w:pgMar w:top="720" w:right="720" w:bottom="720" w:left="720" w:header="720" w:footer="720" w:gutter="0"/>
          <w:cols w:space="720"/>
          <w:docGrid w:linePitch="360"/>
        </w:sectPr>
      </w:pPr>
    </w:p>
    <w:p w14:paraId="6AC2F6FB" w14:textId="58EFFC52" w:rsidR="00A66D7C" w:rsidRPr="00A149AD" w:rsidRDefault="00306373" w:rsidP="005871B5">
      <w:pPr>
        <w:rPr>
          <w:rFonts w:cstheme="minorHAnsi"/>
          <w:sz w:val="24"/>
          <w:szCs w:val="24"/>
          <w:u w:val="single"/>
        </w:rPr>
      </w:pPr>
      <w:r w:rsidRPr="003A7410">
        <w:rPr>
          <w:rFonts w:cstheme="minorHAnsi"/>
          <w:b/>
          <w:bCs/>
          <w:sz w:val="24"/>
          <w:szCs w:val="24"/>
          <w:u w:val="single"/>
        </w:rPr>
        <w:t>Contact</w:t>
      </w:r>
      <w:r w:rsidRPr="00A149AD">
        <w:rPr>
          <w:rFonts w:cstheme="minorHAnsi"/>
          <w:sz w:val="24"/>
          <w:szCs w:val="24"/>
          <w:u w:val="single"/>
        </w:rPr>
        <w:t>:</w:t>
      </w:r>
    </w:p>
    <w:p w14:paraId="391DBDDC" w14:textId="083AB5B6" w:rsidR="00306373" w:rsidRPr="00A149AD" w:rsidRDefault="00000000" w:rsidP="005871B5">
      <w:pPr>
        <w:rPr>
          <w:rFonts w:cstheme="minorHAnsi"/>
          <w:sz w:val="24"/>
          <w:szCs w:val="24"/>
        </w:rPr>
      </w:pPr>
      <w:hyperlink r:id="rId19" w:history="1">
        <w:r w:rsidR="006228FB" w:rsidRPr="00A149AD">
          <w:rPr>
            <w:rStyle w:val="Hyperlink"/>
            <w:rFonts w:cstheme="minorHAnsi"/>
            <w:sz w:val="24"/>
            <w:szCs w:val="24"/>
          </w:rPr>
          <w:t>xenia@ucdenver.edu</w:t>
        </w:r>
      </w:hyperlink>
      <w:r w:rsidR="00306373" w:rsidRPr="00A149AD">
        <w:rPr>
          <w:rFonts w:cstheme="minorHAnsi"/>
          <w:sz w:val="24"/>
          <w:szCs w:val="24"/>
        </w:rPr>
        <w:t xml:space="preserve"> </w:t>
      </w:r>
    </w:p>
    <w:p w14:paraId="72A27A33" w14:textId="3791FB64" w:rsidR="00306373" w:rsidRDefault="00306373" w:rsidP="005871B5">
      <w:pPr>
        <w:rPr>
          <w:rFonts w:cstheme="minorHAnsi"/>
          <w:sz w:val="24"/>
          <w:szCs w:val="24"/>
          <w:u w:val="single"/>
        </w:rPr>
      </w:pPr>
    </w:p>
    <w:p w14:paraId="7665E9F7" w14:textId="3ECDA33D" w:rsidR="002A5505" w:rsidRDefault="002A5505" w:rsidP="005871B5">
      <w:pPr>
        <w:rPr>
          <w:rFonts w:cstheme="minorHAnsi"/>
          <w:sz w:val="24"/>
          <w:szCs w:val="24"/>
          <w:u w:val="single"/>
        </w:rPr>
      </w:pPr>
    </w:p>
    <w:p w14:paraId="7B18055E" w14:textId="77777777" w:rsidR="002126D5" w:rsidRDefault="002126D5" w:rsidP="005871B5">
      <w:pPr>
        <w:rPr>
          <w:rFonts w:cstheme="minorHAnsi"/>
          <w:sz w:val="24"/>
          <w:szCs w:val="24"/>
          <w:u w:val="single"/>
        </w:rPr>
      </w:pPr>
    </w:p>
    <w:p w14:paraId="12809EF3" w14:textId="77777777" w:rsidR="002126D5" w:rsidRDefault="002126D5" w:rsidP="005871B5">
      <w:pPr>
        <w:rPr>
          <w:rFonts w:cstheme="minorHAnsi"/>
          <w:sz w:val="24"/>
          <w:szCs w:val="24"/>
          <w:u w:val="single"/>
        </w:rPr>
      </w:pPr>
    </w:p>
    <w:p w14:paraId="6B32EBAB" w14:textId="6392D19F" w:rsidR="009D4F59" w:rsidRPr="003A7410" w:rsidRDefault="002126D5" w:rsidP="005871B5">
      <w:pPr>
        <w:rPr>
          <w:rFonts w:cstheme="minorHAnsi"/>
          <w:b/>
          <w:bCs/>
          <w:sz w:val="24"/>
          <w:szCs w:val="24"/>
          <w:u w:val="single"/>
        </w:rPr>
      </w:pPr>
      <w:r w:rsidRPr="003A7410">
        <w:rPr>
          <w:rFonts w:cstheme="minorHAnsi"/>
          <w:b/>
          <w:bCs/>
          <w:sz w:val="24"/>
          <w:szCs w:val="24"/>
          <w:u w:val="single"/>
        </w:rPr>
        <w:t>R</w:t>
      </w:r>
      <w:r w:rsidR="009D4F59" w:rsidRPr="003A7410">
        <w:rPr>
          <w:rFonts w:cstheme="minorHAnsi"/>
          <w:b/>
          <w:bCs/>
          <w:sz w:val="24"/>
          <w:szCs w:val="24"/>
          <w:u w:val="single"/>
        </w:rPr>
        <w:t>esources</w:t>
      </w:r>
      <w:r w:rsidR="00C82959" w:rsidRPr="003A7410">
        <w:rPr>
          <w:rFonts w:cstheme="minorHAnsi"/>
          <w:b/>
          <w:bCs/>
          <w:sz w:val="24"/>
          <w:szCs w:val="24"/>
          <w:u w:val="single"/>
        </w:rPr>
        <w:t>:</w:t>
      </w:r>
    </w:p>
    <w:p w14:paraId="08C71592" w14:textId="66F5153E" w:rsidR="009D4F59" w:rsidRPr="00A149AD" w:rsidRDefault="00000000" w:rsidP="009D4F59">
      <w:pPr>
        <w:pStyle w:val="ListParagraph"/>
        <w:numPr>
          <w:ilvl w:val="0"/>
          <w:numId w:val="1"/>
        </w:numPr>
        <w:rPr>
          <w:rFonts w:cstheme="minorHAnsi"/>
          <w:sz w:val="24"/>
          <w:szCs w:val="24"/>
        </w:rPr>
      </w:pPr>
      <w:hyperlink r:id="rId20" w:history="1">
        <w:r w:rsidR="009D4F59" w:rsidRPr="00A149AD">
          <w:rPr>
            <w:rStyle w:val="Hyperlink"/>
            <w:rFonts w:cstheme="minorHAnsi"/>
            <w:sz w:val="24"/>
            <w:szCs w:val="24"/>
          </w:rPr>
          <w:t xml:space="preserve">NIH RPPR </w:t>
        </w:r>
        <w:r w:rsidR="00C82959" w:rsidRPr="00A149AD">
          <w:rPr>
            <w:rStyle w:val="Hyperlink"/>
            <w:rFonts w:cstheme="minorHAnsi"/>
            <w:sz w:val="24"/>
            <w:szCs w:val="24"/>
          </w:rPr>
          <w:t>information</w:t>
        </w:r>
      </w:hyperlink>
    </w:p>
    <w:p w14:paraId="2529D5C9" w14:textId="34E1B253" w:rsidR="009D4F59" w:rsidRPr="005E7D83" w:rsidRDefault="00000000" w:rsidP="005E7D83">
      <w:pPr>
        <w:pStyle w:val="ListParagraph"/>
        <w:numPr>
          <w:ilvl w:val="0"/>
          <w:numId w:val="1"/>
        </w:numPr>
        <w:rPr>
          <w:rFonts w:cstheme="minorHAnsi"/>
          <w:sz w:val="24"/>
          <w:szCs w:val="24"/>
        </w:rPr>
      </w:pPr>
      <w:hyperlink r:id="rId21" w:history="1">
        <w:r w:rsidR="009D4F59" w:rsidRPr="00A149AD">
          <w:rPr>
            <w:rStyle w:val="Hyperlink"/>
            <w:rFonts w:cstheme="minorHAnsi"/>
            <w:sz w:val="24"/>
            <w:szCs w:val="24"/>
          </w:rPr>
          <w:t>OGC NIH RPPR Procedures</w:t>
        </w:r>
      </w:hyperlink>
    </w:p>
    <w:sectPr w:rsidR="009D4F59" w:rsidRPr="005E7D83" w:rsidSect="002A5505">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220FA"/>
    <w:multiLevelType w:val="hybridMultilevel"/>
    <w:tmpl w:val="8DA4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0854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B5"/>
    <w:rsid w:val="00131B49"/>
    <w:rsid w:val="002126D5"/>
    <w:rsid w:val="00295D9C"/>
    <w:rsid w:val="002A5505"/>
    <w:rsid w:val="002B0E14"/>
    <w:rsid w:val="00306373"/>
    <w:rsid w:val="0032519F"/>
    <w:rsid w:val="00350A0E"/>
    <w:rsid w:val="00354F06"/>
    <w:rsid w:val="003A7410"/>
    <w:rsid w:val="003D0DE0"/>
    <w:rsid w:val="003F0DDC"/>
    <w:rsid w:val="00455EC7"/>
    <w:rsid w:val="00481179"/>
    <w:rsid w:val="00490635"/>
    <w:rsid w:val="004E3283"/>
    <w:rsid w:val="005871B5"/>
    <w:rsid w:val="005C2383"/>
    <w:rsid w:val="005D77FD"/>
    <w:rsid w:val="005E7D83"/>
    <w:rsid w:val="0060144A"/>
    <w:rsid w:val="006228FB"/>
    <w:rsid w:val="00622B5E"/>
    <w:rsid w:val="00623068"/>
    <w:rsid w:val="00634ED5"/>
    <w:rsid w:val="0064003B"/>
    <w:rsid w:val="007916DE"/>
    <w:rsid w:val="009D4F59"/>
    <w:rsid w:val="00A149AD"/>
    <w:rsid w:val="00A66D7C"/>
    <w:rsid w:val="00AD14FF"/>
    <w:rsid w:val="00BD5FDA"/>
    <w:rsid w:val="00C3133D"/>
    <w:rsid w:val="00C62FE5"/>
    <w:rsid w:val="00C82959"/>
    <w:rsid w:val="00C8421C"/>
    <w:rsid w:val="00C8490D"/>
    <w:rsid w:val="00C850E9"/>
    <w:rsid w:val="00CE6CD9"/>
    <w:rsid w:val="00D47EC2"/>
    <w:rsid w:val="00DB755B"/>
    <w:rsid w:val="00DF757C"/>
    <w:rsid w:val="00E1764E"/>
    <w:rsid w:val="00E27EF7"/>
    <w:rsid w:val="00ED47A5"/>
    <w:rsid w:val="00EE4009"/>
    <w:rsid w:val="00F54418"/>
    <w:rsid w:val="00F7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8C07"/>
  <w15:chartTrackingRefBased/>
  <w15:docId w15:val="{519D0ED9-DCA6-4A06-B7C7-BBCB96E3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F59"/>
    <w:rPr>
      <w:color w:val="0563C1" w:themeColor="hyperlink"/>
      <w:u w:val="single"/>
    </w:rPr>
  </w:style>
  <w:style w:type="character" w:customStyle="1" w:styleId="UnresolvedMention1">
    <w:name w:val="Unresolved Mention1"/>
    <w:basedOn w:val="DefaultParagraphFont"/>
    <w:uiPriority w:val="99"/>
    <w:semiHidden/>
    <w:unhideWhenUsed/>
    <w:rsid w:val="009D4F59"/>
    <w:rPr>
      <w:color w:val="605E5C"/>
      <w:shd w:val="clear" w:color="auto" w:fill="E1DFDD"/>
    </w:rPr>
  </w:style>
  <w:style w:type="paragraph" w:styleId="ListParagraph">
    <w:name w:val="List Paragraph"/>
    <w:basedOn w:val="Normal"/>
    <w:uiPriority w:val="34"/>
    <w:qFormat/>
    <w:rsid w:val="009D4F59"/>
    <w:pPr>
      <w:ind w:left="720"/>
      <w:contextualSpacing/>
    </w:pPr>
  </w:style>
  <w:style w:type="paragraph" w:styleId="BalloonText">
    <w:name w:val="Balloon Text"/>
    <w:basedOn w:val="Normal"/>
    <w:link w:val="BalloonTextChar"/>
    <w:uiPriority w:val="99"/>
    <w:semiHidden/>
    <w:unhideWhenUsed/>
    <w:rsid w:val="00E27E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EF7"/>
    <w:rPr>
      <w:rFonts w:ascii="Segoe UI" w:hAnsi="Segoe UI" w:cs="Segoe UI"/>
      <w:sz w:val="18"/>
      <w:szCs w:val="18"/>
    </w:rPr>
  </w:style>
  <w:style w:type="character" w:styleId="UnresolvedMention">
    <w:name w:val="Unresolved Mention"/>
    <w:basedOn w:val="DefaultParagraphFont"/>
    <w:uiPriority w:val="99"/>
    <w:semiHidden/>
    <w:unhideWhenUsed/>
    <w:rsid w:val="00634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6.png"/><Relationship Id="rId18" Type="http://schemas.openxmlformats.org/officeDocument/2006/relationships/image" Target="media/image11.svg"/><Relationship Id="rId3" Type="http://schemas.openxmlformats.org/officeDocument/2006/relationships/styles" Target="styles.xml"/><Relationship Id="rId21" Type="http://schemas.openxmlformats.org/officeDocument/2006/relationships/hyperlink" Target="https://research.cuanschutz.edu/ogc/home/award-lifecycle/pre-award/resources-/nih-rppr-procedures" TargetMode="External"/><Relationship Id="rId7" Type="http://schemas.openxmlformats.org/officeDocument/2006/relationships/image" Target="media/image2.png"/><Relationship Id="rId12" Type="http://schemas.openxmlformats.org/officeDocument/2006/relationships/image" Target="media/image5.sv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hyperlink" Target="https://grants.nih.gov/grants/rppr/index.ht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hyperlink" Target="mailto:xenia@ucdenver.edu" TargetMode="External"/><Relationship Id="rId19" Type="http://schemas.openxmlformats.org/officeDocument/2006/relationships/hyperlink" Target="mailto:xenia@ucdenver.edu" TargetMode="External"/><Relationship Id="rId4" Type="http://schemas.openxmlformats.org/officeDocument/2006/relationships/settings" Target="settings.xml"/><Relationship Id="rId9" Type="http://schemas.openxmlformats.org/officeDocument/2006/relationships/hyperlink" Target="mailto:xenia@ucdenver.edu" TargetMode="External"/><Relationship Id="rId14" Type="http://schemas.openxmlformats.org/officeDocument/2006/relationships/image" Target="media/image7.sv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ABC0A-D30E-4E20-8C62-8B6A8718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Shane Jernigan</dc:creator>
  <cp:keywords/>
  <dc:description/>
  <cp:lastModifiedBy>Franz, Alex</cp:lastModifiedBy>
  <cp:revision>6</cp:revision>
  <dcterms:created xsi:type="dcterms:W3CDTF">2023-08-14T18:10:00Z</dcterms:created>
  <dcterms:modified xsi:type="dcterms:W3CDTF">2023-08-14T22:53:00Z</dcterms:modified>
</cp:coreProperties>
</file>